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E" w:rsidRPr="00980C1E" w:rsidRDefault="00980C1E" w:rsidP="00980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  <w:t>Subprogramul de tratament al bolnavilor cu afecţiuni oncologice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Activităţi:</w:t>
      </w:r>
    </w:p>
    <w:p w:rsidR="00980C1E" w:rsidRPr="00980C1E" w:rsidRDefault="00980C1E" w:rsidP="00980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tratamentului specific bolnavilor cu afecţiuni oncologice: citostatice, imunomodulatori, hormoni, factori de creştere şi inhibitori de osteoclaste în spital şi în ambulatoriu.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Criterii de eligibilitate: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1) includerea în subprogram: după stabilirea diagnosticului de boală neoplazică şi stadializarea extensiei tumorale, conform procedurilor recomandate de ghidurile şi tratatele naţionale şi internaţionale recunoscute;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2) excluderea din subprogram: după epuizarea dozelor de citostatice recomandate sau a timpului de acordare a tratamentului sau la solicitarea bolnavului, după caz;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3) reincluderea în subprogram: la constatarea recidivei sau a progresiei bolii stabilizate, când pacientul necesită reinstituirea tratamentului antineoplazic.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Indicatori de evaluare: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1) indicatori fizici:</w:t>
      </w:r>
    </w:p>
    <w:p w:rsidR="00980C1E" w:rsidRPr="00980C1E" w:rsidRDefault="00980C1E" w:rsidP="00980C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număr de bolnavi trataţi: 108.000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2) indicatori de eficienţă:</w:t>
      </w:r>
    </w:p>
    <w:p w:rsidR="00980C1E" w:rsidRPr="00980C1E" w:rsidRDefault="00980C1E" w:rsidP="00980C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cost mediu/bolnav tratat/an: 11.337,10 lei.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Natura cheltuielilor subprogramului: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a) cheltuieli pentru medicamente specifice (citostatice, imunomodulatori, hormoni, factori de creştere, inhibitori de osteoclaste).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Unităţi care derulează subprogramul:</w:t>
      </w:r>
    </w:p>
    <w:p w:rsidR="00980C1E" w:rsidRPr="00980C1E" w:rsidRDefault="00980C1E" w:rsidP="00980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a) Institutul Oncologic "Prof. dr. Alexandru Trestioreanu" Bucureşti;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b) Institutul Oncologic "Prof. dr. I. Chiricuţă" Cluj-Napoca;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c) Institutul Regional de Oncologie Iaşi;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d) Institutul Regional de Oncologie Timişoara;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e) unităţi sanitare care au în structură secţii, compartimente, ambulatorii de specialitate sau cabinete medicale, inclusiv unităţi sanitare cărora le sunt arondate ambulatorii/cabinete medicale de specialitate, după caz, ce au în competenţă tratarea bolnavilor pentru afecţiuni oncologice şi oncohematologice;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f) unităţi sanitare aparţinând ministerelor cu reţea sanitară proprie;</w:t>
      </w: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g) farmacii cu circuit deschis.</w:t>
      </w:r>
    </w:p>
    <w:p w:rsidR="00980C1E" w:rsidRPr="00980C1E" w:rsidRDefault="00980C1E" w:rsidP="00980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980C1E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Coordonatori nationali desemnati in vederea coordonarii tehnice si metodologice pentru implementarea programului:</w:t>
      </w:r>
    </w:p>
    <w:p w:rsidR="00980C1E" w:rsidRPr="00980C1E" w:rsidRDefault="00980C1E" w:rsidP="00980C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80C1E">
        <w:rPr>
          <w:rFonts w:ascii="Times New Roman" w:eastAsia="Times New Roman" w:hAnsi="Times New Roman" w:cs="Times New Roman"/>
          <w:sz w:val="24"/>
          <w:szCs w:val="24"/>
          <w:lang w:val="ro-RO"/>
        </w:rPr>
        <w:t>Dr. Adina Croitoru – Institut Clinic Fundeni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  <w:t>Subprogramul de monitorizare a evoluţiei bolii la pacienţii cu afecţiuni oncologice prin PET-CT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Activităţi:</w:t>
      </w:r>
    </w:p>
    <w:p w:rsidR="002127AB" w:rsidRPr="002127AB" w:rsidRDefault="002127AB" w:rsidP="002127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monitorizarea evoluţiei bolii la pacienţii cu afecţiuni oncologice prin PET-CT.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Criterii de eligibilitate: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Pentru pacienţi adulţi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1. Nodul pulmonar solitar (NPS): pentru care un diagnostic nu a putut fi stabilit printr-o puncţie-biopsie din cauza tentativei nereuşite de puncţie; când NPS este inaccesibil pentru procedura de puncţie-biopsie, sau când există contraindicaţie pentru utilizarea procedurii de puncţie-biopsie.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2. Cancerul tiroidian: în cazul în care recurenţa sau persistenţa bolii este suspectată pe baza tireoglobulinei crescute, atunci când studiile standard imagistice sunt negative sau incerte.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3. Tumori cu celule germinale: în cazul în care se suspectează recurenţa bolii pe baza unor valori crescute ale markerilor tumorali - (beta gonadotrofină corionică umană (hCG) şi/sau alfa fetoproteina) iar testele standard imagistice sunt negative, sau atunci când rezecţia chirurgicală </w:t>
      </w: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curativă este luată în considerare pentru o masă persistentă după tratamentul primar al unui seminom.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4. Cancerul colorectal: în cazul în care se suspectează boala recurentă pe baza unor valori crescute şi/sau în creştere ale antigenului carcinoembrironic (ACE), atunci când testele standard imagistice sunt negative sau incerte, precum şi pentru evaluarea pacienţilor cu leziuni metastatice operabile.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5. Limfom Hodgkin sau non-Hodgkin: pentru evaluarea formaţiunilor reziduale sau a suspiciunii de recidivă la un pacient cu limfom Hodgkin sau non-Hodgkin, atunci când testele standard imagistice sunt neconcludente sau pentru evaluarea răspunsului în stadiile incipiente, după două sau trei cicluri de chimioterapie şi la terminarea tratamentului.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6. Cancerul bronhopulmonar</w:t>
      </w:r>
    </w:p>
    <w:p w:rsidR="002127AB" w:rsidRPr="002127AB" w:rsidRDefault="002127AB" w:rsidP="002127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cancerul bronho-pulmonar non-microcelular (CBPNM): pentru cazurile în care rezecţia chirurgicală curativă este considerată indicată pe baza testelor imagistice standard negative sau neconcludente</w:t>
      </w:r>
    </w:p>
    <w:p w:rsidR="002127AB" w:rsidRPr="002127AB" w:rsidRDefault="002127AB" w:rsidP="002127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pentru stadializarea cancerului bronho-pulmonar non-microcelular şi microcelular, atunci când testele standard imagistice sunt neconcludente, şi este luată în considerare o modalitate terapeutică combinată (chimioterapie şi radioterapie)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7. Neoplazii ale capului şi gâtului: evaluarea bolii reziduale şi/sau a recidivelor când testele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8. Melanom malign: leziuni metastatice cu indicaţie chirurgicală, când examinările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9. Neoplasm esofagian, gastric sau pancreatic: evaluarea cazurilor cu indicaţie chirurgicală cu intenţie de radicalitate, atunci când testele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10. Neoplasm de ovar: evaluarea cazurilor cu suspiciune de recidivă în urma unor rezultate alterate ale examenelor de laborator - CA 125 ridicat, cu investigaţii imagistice standard neconcludente sau negative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11. Neoplasm mamar: evaluarea cazurilor cu suspiciune de recidivă locală sau la distanţă, în cazul investigaţiilor imagistice standard neconcludente, precum şi evaluarea cazurilor cu leziuni metastatice considerate operabile pe baza testelor standard imagistice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br/>
        <w:t>12. Sarcoame osoase sau de părţi moi: evaluarea cazurilor cu indicaţie chirurgicală cu intenţie de radicalitate, atunci când testele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13. GIST, tumori neuroendocrine: evaluarea răspunsului terapeutic, atunci când testele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14. Localizarea tumorilor oculte la pacienţii cu metastaze cu punct de plecare neprecizat, atunci când testele standard imagistice sunt neconcludente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2127A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Pentru pacienţi copii: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1. Limfoame: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Limfom Hodgkin:</w:t>
      </w:r>
    </w:p>
    <w:p w:rsidR="002127AB" w:rsidRPr="002127AB" w:rsidRDefault="002127AB" w:rsidP="002127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Limfoame non-Hodgkin T şi B:</w:t>
      </w:r>
    </w:p>
    <w:p w:rsidR="002127AB" w:rsidRPr="002127AB" w:rsidRDefault="002127AB" w:rsidP="002127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2. Sarcoame de părţi moi şi sarcoame osoase</w:t>
      </w:r>
    </w:p>
    <w:p w:rsidR="002127AB" w:rsidRPr="002127AB" w:rsidRDefault="002127AB" w:rsidP="002127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3. Neuroblastom</w:t>
      </w:r>
    </w:p>
    <w:p w:rsidR="002127AB" w:rsidRPr="002127AB" w:rsidRDefault="002127AB" w:rsidP="002127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4. Retinoblastom</w:t>
      </w:r>
    </w:p>
    <w:p w:rsidR="002127AB" w:rsidRPr="002127AB" w:rsidRDefault="002127AB" w:rsidP="002127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br/>
        <w:t>5. Tumori hepatice</w:t>
      </w:r>
    </w:p>
    <w:p w:rsidR="002127AB" w:rsidRPr="002127AB" w:rsidRDefault="002127AB" w:rsidP="002127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stadializare</w:t>
      </w:r>
    </w:p>
    <w:p w:rsidR="002127AB" w:rsidRPr="002127AB" w:rsidRDefault="002127AB" w:rsidP="002127A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evaluarea răspunsului terapeutic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6. Metastaze cu punct de plecare neprecizat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7. Tumori rare, specifice adultului, cu aceleaşi indicaţii ca şi la adult (cc. colo-rectal, carcinom ORL, tumori germinale, tumori cutanate, tumoră pancreatică, tumoră tiroidiană, GIST, tumoră pulmonară)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8. Tumori care nu pot fi diagnosticate - încadrate prin alte examinări paraclinice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9. Tumori cu evoluţie necorespunzătoare în urma tratamentului aplicat (reevaluare diagnostic)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Recomandarea pentru examinarea PET/CT se va face cu aprobarea comisiei de experţi a Casei Naţionale de Asigurări de Sănătate.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Indicatori de evaluare: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1) Indicatori fizici:</w:t>
      </w:r>
    </w:p>
    <w:p w:rsidR="002127AB" w:rsidRPr="002127AB" w:rsidRDefault="002127AB" w:rsidP="002127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număr de bolnavi: 3.000;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2) Indicatori de eficienţă:</w:t>
      </w:r>
    </w:p>
    <w:p w:rsidR="002127AB" w:rsidRPr="002127AB" w:rsidRDefault="002127AB" w:rsidP="002127A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cost/investigaţie: 4.000 lei.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Natura cheltuielilor subprogramului:</w:t>
      </w:r>
    </w:p>
    <w:p w:rsidR="002127AB" w:rsidRPr="002127AB" w:rsidRDefault="002127AB" w:rsidP="002127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servicii medicale paraclinice - investigaţii PET-CT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Unităţi care derulează subprogramul:</w:t>
      </w:r>
    </w:p>
    <w:p w:rsidR="002127AB" w:rsidRPr="002127AB" w:rsidRDefault="002127AB" w:rsidP="00212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a) Pozitron-Diagnosztika, Oradea;</w:t>
      </w: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b) Euromedic, Bucureşti;</w:t>
      </w: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c) S.C. Pozitron Medical Investigation S.R.L. Constanţa.</w:t>
      </w: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d) Centrul de Diagnostic şi Tratament Oncologic Braşov</w:t>
      </w: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e) SC CT Clinic SRL, Cluj-Napoca</w:t>
      </w:r>
    </w:p>
    <w:p w:rsidR="002127AB" w:rsidRPr="002127AB" w:rsidRDefault="002127AB" w:rsidP="00212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2127AB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lastRenderedPageBreak/>
        <w:t>Coordonatori nationali desemnati in vederea coordonarii tehnice si metodologice pentru implementarea programului:</w:t>
      </w:r>
    </w:p>
    <w:p w:rsidR="002127AB" w:rsidRPr="002127AB" w:rsidRDefault="002127AB" w:rsidP="002127A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27AB">
        <w:rPr>
          <w:rFonts w:ascii="Times New Roman" w:eastAsia="Times New Roman" w:hAnsi="Times New Roman" w:cs="Times New Roman"/>
          <w:sz w:val="24"/>
          <w:szCs w:val="24"/>
          <w:lang w:val="ro-RO"/>
        </w:rPr>
        <w:t>Dr. Stefanel Vlad – Spital Universitar de Urgenta Militar Central „Dr. Carol Davila” Bucuresti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/>
        </w:rPr>
        <w:t>Subprogramul de reconstrucţie mamară după afecţiuni oncologice prin endoprotezare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Activităţi:</w:t>
      </w:r>
    </w:p>
    <w:p w:rsidR="00D93F47" w:rsidRPr="00D93F47" w:rsidRDefault="00D93F47" w:rsidP="00D93F4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endoprotezelor mamare pentru reconstrucţia mamară după afecţiuni oncologice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Criterii de eligibilitate:</w:t>
      </w:r>
    </w:p>
    <w:p w:rsidR="00D93F47" w:rsidRPr="00D93F47" w:rsidRDefault="00D93F47" w:rsidP="00D9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Criterii de includere:</w:t>
      </w:r>
    </w:p>
    <w:p w:rsidR="00D93F47" w:rsidRPr="00D93F47" w:rsidRDefault="00D93F47" w:rsidP="00D93F4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evaluare oncologică de etapă, care să avizeze explicit indicaţia de reconstrucţie mamară, imediată sau secundară</w:t>
      </w:r>
    </w:p>
    <w:p w:rsidR="00D93F47" w:rsidRPr="00D93F47" w:rsidRDefault="00D93F47" w:rsidP="00D9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Criterii de excludere:</w:t>
      </w:r>
    </w:p>
    <w:p w:rsidR="00D93F47" w:rsidRPr="00D93F47" w:rsidRDefault="00D93F47" w:rsidP="00D93F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protocol terapeutic oncologic ce nu permite efectuarea tratamentului reconstructiv</w:t>
      </w:r>
    </w:p>
    <w:p w:rsidR="00D93F47" w:rsidRPr="00D93F47" w:rsidRDefault="00D93F47" w:rsidP="00D93F4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afecţiuni sistemice severe, care în urma evaluărilor interdisciplinare contraindică intervenţia sau anestezia generală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Indicatori de evaluare:</w:t>
      </w:r>
    </w:p>
    <w:p w:rsidR="00D93F47" w:rsidRPr="00D93F47" w:rsidRDefault="00D93F47" w:rsidP="00D9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1) Indicatori fizici:</w:t>
      </w:r>
    </w:p>
    <w:p w:rsidR="00D93F47" w:rsidRPr="00D93F47" w:rsidRDefault="00D93F47" w:rsidP="00D93F4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număr de bolnave: 800;</w:t>
      </w:r>
    </w:p>
    <w:p w:rsidR="00D93F47" w:rsidRPr="00D93F47" w:rsidRDefault="00D93F47" w:rsidP="00D9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2) Indicatori de eficienţă:</w:t>
      </w:r>
    </w:p>
    <w:p w:rsidR="00D93F47" w:rsidRPr="00D93F47" w:rsidRDefault="00D93F47" w:rsidP="00D93F4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cost mediu/bolnavă: 3.150 lei.</w:t>
      </w:r>
    </w:p>
    <w:p w:rsidR="00D93F47" w:rsidRPr="00D93F47" w:rsidRDefault="00D93F47" w:rsidP="00D93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Natura cheltuielilor programului: endoproteze mamare pentru reconstrucţia mamară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br/>
        <w:t>Unităţi care derulează subprogramul: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Spitalul Clinic de Urgenţă Bucureşti –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de Urgenţă Bagdazar-Arsenie”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Universitar de Urgenţă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de Chirurgie Plastică, Reconstructivă şi Arsuri „Steaua”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Militar de Urgenţă „Prof. Dr. Agrippa Ionescu”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de Urgenţă Sf. Ioan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Universitar de Urgenţă Elias Bucureşti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Institutul Oncologic „Prof. Dr. Al. Trestioreanu” Bucureşti 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Judeţean de Urgenţă Braşov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de Recuperare Cluj-Napoca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judeţean de Urgenţă Constanţa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Judeţean de Urgenţă Craiova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de Urgenţe Iaşi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Judeţean Oradea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Judeţean de Urgenţă Târgu-Mureş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Spitalul Clinic Judeţean de Urgenţă Timişoara - Clinica de Chirurgie Plastică, Estetică şi Microchirurgie Reconstructivă</w:t>
      </w:r>
    </w:p>
    <w:p w:rsidR="00D93F47" w:rsidRPr="00D93F47" w:rsidRDefault="00D93F47" w:rsidP="00D93F4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Institutul Oncologic Timişoara</w:t>
      </w:r>
    </w:p>
    <w:p w:rsidR="00D93F47" w:rsidRPr="00D93F47" w:rsidRDefault="00D93F47" w:rsidP="00D93F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  <w:r w:rsidRPr="00D93F47"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  <w:t>Coordonatori nationali desemnati in vederea coordonarii tehnice si metodologice pentru implementarea programului:</w:t>
      </w:r>
    </w:p>
    <w:p w:rsidR="00D93F47" w:rsidRPr="00D93F47" w:rsidRDefault="00D93F47" w:rsidP="00D93F4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3F47">
        <w:rPr>
          <w:rFonts w:ascii="Times New Roman" w:eastAsia="Times New Roman" w:hAnsi="Times New Roman" w:cs="Times New Roman"/>
          <w:sz w:val="24"/>
          <w:szCs w:val="24"/>
          <w:lang w:val="ro-RO"/>
        </w:rPr>
        <w:t>Prof. Dr. Ioan Lascar – Spitalul Clinic de Urgenta Bucuresti Bucuresti - Subprogramul de reconstrucţie mamară după afecţiuni oncologice prin endoprotezare.</w:t>
      </w:r>
    </w:p>
    <w:p w:rsidR="00095521" w:rsidRDefault="00095521"/>
    <w:sectPr w:rsidR="00095521" w:rsidSect="00095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B2"/>
    <w:multiLevelType w:val="multilevel"/>
    <w:tmpl w:val="7E4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497B"/>
    <w:multiLevelType w:val="multilevel"/>
    <w:tmpl w:val="87F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D16F5"/>
    <w:multiLevelType w:val="multilevel"/>
    <w:tmpl w:val="ED0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85E67"/>
    <w:multiLevelType w:val="multilevel"/>
    <w:tmpl w:val="D846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1D81"/>
    <w:multiLevelType w:val="multilevel"/>
    <w:tmpl w:val="147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67D2A"/>
    <w:multiLevelType w:val="multilevel"/>
    <w:tmpl w:val="F5F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A47D7"/>
    <w:multiLevelType w:val="multilevel"/>
    <w:tmpl w:val="B20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55FB7"/>
    <w:multiLevelType w:val="multilevel"/>
    <w:tmpl w:val="575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02F0E"/>
    <w:multiLevelType w:val="multilevel"/>
    <w:tmpl w:val="DF4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D1F24"/>
    <w:multiLevelType w:val="multilevel"/>
    <w:tmpl w:val="C09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B7A9F"/>
    <w:multiLevelType w:val="multilevel"/>
    <w:tmpl w:val="077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D6ED1"/>
    <w:multiLevelType w:val="multilevel"/>
    <w:tmpl w:val="515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56729"/>
    <w:multiLevelType w:val="multilevel"/>
    <w:tmpl w:val="C0D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938B1"/>
    <w:multiLevelType w:val="multilevel"/>
    <w:tmpl w:val="1AE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95388"/>
    <w:multiLevelType w:val="multilevel"/>
    <w:tmpl w:val="AFD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94FF7"/>
    <w:multiLevelType w:val="multilevel"/>
    <w:tmpl w:val="D51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F6932"/>
    <w:multiLevelType w:val="multilevel"/>
    <w:tmpl w:val="003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7E1B"/>
    <w:multiLevelType w:val="multilevel"/>
    <w:tmpl w:val="6E5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E0DCC"/>
    <w:multiLevelType w:val="multilevel"/>
    <w:tmpl w:val="08F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E2CEB"/>
    <w:multiLevelType w:val="multilevel"/>
    <w:tmpl w:val="CB68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15AA8"/>
    <w:multiLevelType w:val="multilevel"/>
    <w:tmpl w:val="68A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8544F"/>
    <w:multiLevelType w:val="multilevel"/>
    <w:tmpl w:val="523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B407E"/>
    <w:multiLevelType w:val="multilevel"/>
    <w:tmpl w:val="A25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6"/>
  </w:num>
  <w:num w:numId="5">
    <w:abstractNumId w:val="4"/>
  </w:num>
  <w:num w:numId="6">
    <w:abstractNumId w:val="21"/>
  </w:num>
  <w:num w:numId="7">
    <w:abstractNumId w:val="11"/>
  </w:num>
  <w:num w:numId="8">
    <w:abstractNumId w:val="18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7"/>
  </w:num>
  <w:num w:numId="14">
    <w:abstractNumId w:val="16"/>
  </w:num>
  <w:num w:numId="15">
    <w:abstractNumId w:val="7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C1E"/>
    <w:rsid w:val="00095521"/>
    <w:rsid w:val="002127AB"/>
    <w:rsid w:val="00440BE9"/>
    <w:rsid w:val="00980C1E"/>
    <w:rsid w:val="00D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21"/>
  </w:style>
  <w:style w:type="paragraph" w:styleId="Heading1">
    <w:name w:val="heading 1"/>
    <w:basedOn w:val="Normal"/>
    <w:link w:val="Heading1Char"/>
    <w:uiPriority w:val="9"/>
    <w:qFormat/>
    <w:rsid w:val="00980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0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0C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Bordas</dc:creator>
  <cp:keywords/>
  <dc:description/>
  <cp:lastModifiedBy>Bordas</cp:lastModifiedBy>
  <cp:revision>4</cp:revision>
  <dcterms:created xsi:type="dcterms:W3CDTF">2014-08-07T07:57:00Z</dcterms:created>
  <dcterms:modified xsi:type="dcterms:W3CDTF">2014-08-07T07:58:00Z</dcterms:modified>
</cp:coreProperties>
</file>