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2820"/>
        <w:gridCol w:w="3417"/>
        <w:gridCol w:w="4221"/>
        <w:gridCol w:w="2812"/>
      </w:tblGrid>
      <w:tr w:rsidR="003944F8" w:rsidRPr="00944923" w:rsidTr="00944923">
        <w:trPr>
          <w:trHeight w:val="850"/>
        </w:trPr>
        <w:tc>
          <w:tcPr>
            <w:tcW w:w="990" w:type="dxa"/>
            <w:vAlign w:val="center"/>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Număr</w:t>
            </w:r>
          </w:p>
        </w:tc>
        <w:tc>
          <w:tcPr>
            <w:tcW w:w="2820" w:type="dxa"/>
            <w:vAlign w:val="center"/>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Măsură preventivă</w:t>
            </w:r>
          </w:p>
        </w:tc>
        <w:tc>
          <w:tcPr>
            <w:tcW w:w="3417" w:type="dxa"/>
            <w:vAlign w:val="center"/>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Sediul materiei</w:t>
            </w:r>
          </w:p>
        </w:tc>
        <w:tc>
          <w:tcPr>
            <w:tcW w:w="4221" w:type="dxa"/>
            <w:vAlign w:val="center"/>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Indicatori</w:t>
            </w:r>
          </w:p>
        </w:tc>
        <w:tc>
          <w:tcPr>
            <w:tcW w:w="2812" w:type="dxa"/>
            <w:vAlign w:val="center"/>
          </w:tcPr>
          <w:p w:rsidR="003944F8" w:rsidRPr="00944923" w:rsidRDefault="003944F8" w:rsidP="006D39A1">
            <w:pPr>
              <w:spacing w:after="0" w:line="240" w:lineRule="auto"/>
              <w:jc w:val="center"/>
              <w:rPr>
                <w:rFonts w:ascii="Palatino Linotype" w:hAnsi="Palatino Linotype"/>
                <w:b/>
                <w:sz w:val="24"/>
                <w:szCs w:val="24"/>
              </w:rPr>
            </w:pPr>
            <w:r w:rsidRPr="00944923">
              <w:rPr>
                <w:rFonts w:ascii="Palatino Linotype" w:hAnsi="Palatino Linotype"/>
                <w:b/>
                <w:sz w:val="24"/>
                <w:szCs w:val="24"/>
              </w:rPr>
              <w:t>Evaluare</w:t>
            </w:r>
          </w:p>
          <w:p w:rsidR="003944F8" w:rsidRPr="00944923" w:rsidRDefault="003944F8" w:rsidP="006D39A1">
            <w:pPr>
              <w:spacing w:after="0" w:line="240" w:lineRule="auto"/>
              <w:jc w:val="center"/>
              <w:rPr>
                <w:rFonts w:ascii="Palatino Linotype" w:hAnsi="Palatino Linotype"/>
                <w:b/>
                <w:sz w:val="24"/>
                <w:szCs w:val="24"/>
              </w:rPr>
            </w:pPr>
            <w:r>
              <w:rPr>
                <w:rFonts w:ascii="Palatino Linotype" w:hAnsi="Palatino Linotype"/>
                <w:b/>
                <w:sz w:val="24"/>
                <w:szCs w:val="24"/>
              </w:rPr>
              <w:t>perioada ian-iunie 2018</w:t>
            </w:r>
          </w:p>
        </w:tc>
      </w:tr>
      <w:tr w:rsidR="003944F8" w:rsidRPr="00944923" w:rsidTr="00944923">
        <w:trPr>
          <w:trHeight w:val="335"/>
        </w:trPr>
        <w:tc>
          <w:tcPr>
            <w:tcW w:w="990" w:type="dxa"/>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0</w:t>
            </w:r>
          </w:p>
        </w:tc>
        <w:tc>
          <w:tcPr>
            <w:tcW w:w="2820" w:type="dxa"/>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w:t>
            </w:r>
          </w:p>
        </w:tc>
        <w:tc>
          <w:tcPr>
            <w:tcW w:w="3417" w:type="dxa"/>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2</w:t>
            </w:r>
          </w:p>
        </w:tc>
        <w:tc>
          <w:tcPr>
            <w:tcW w:w="4221" w:type="dxa"/>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3</w:t>
            </w:r>
          </w:p>
        </w:tc>
        <w:tc>
          <w:tcPr>
            <w:tcW w:w="2812" w:type="dxa"/>
          </w:tcPr>
          <w:p w:rsidR="003944F8" w:rsidRPr="00944923" w:rsidRDefault="003944F8" w:rsidP="006D39A1">
            <w:pPr>
              <w:spacing w:after="0" w:line="240" w:lineRule="auto"/>
              <w:jc w:val="center"/>
              <w:rPr>
                <w:rFonts w:ascii="Palatino Linotype" w:hAnsi="Palatino Linotype"/>
                <w:b/>
                <w:sz w:val="24"/>
                <w:szCs w:val="24"/>
              </w:rPr>
            </w:pPr>
            <w:r w:rsidRPr="00944923">
              <w:rPr>
                <w:rFonts w:ascii="Palatino Linotype" w:hAnsi="Palatino Linotype"/>
                <w:b/>
                <w:sz w:val="24"/>
                <w:szCs w:val="24"/>
              </w:rPr>
              <w:t>4</w:t>
            </w:r>
          </w:p>
        </w:tc>
      </w:tr>
      <w:tr w:rsidR="003944F8" w:rsidRPr="00944923" w:rsidTr="00944923">
        <w:trPr>
          <w:trHeight w:val="640"/>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w:t>
            </w:r>
          </w:p>
        </w:tc>
        <w:tc>
          <w:tcPr>
            <w:tcW w:w="2820" w:type="dxa"/>
            <w:vMerge w:val="restart"/>
          </w:tcPr>
          <w:p w:rsidR="003944F8" w:rsidRPr="00944923" w:rsidRDefault="003944F8"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Cod etic/deontologic/ de conduită</w:t>
            </w:r>
          </w:p>
          <w:p w:rsidR="003944F8" w:rsidRPr="00944923" w:rsidRDefault="003944F8" w:rsidP="00944923">
            <w:pPr>
              <w:spacing w:after="0" w:line="240" w:lineRule="auto"/>
              <w:jc w:val="both"/>
              <w:rPr>
                <w:rFonts w:ascii="Palatino Linotype" w:hAnsi="Palatino Linotype"/>
                <w:sz w:val="24"/>
                <w:szCs w:val="24"/>
              </w:rPr>
            </w:pPr>
          </w:p>
        </w:tc>
        <w:tc>
          <w:tcPr>
            <w:tcW w:w="3417" w:type="dxa"/>
            <w:vMerge w:val="restart"/>
          </w:tcPr>
          <w:p w:rsidR="003944F8"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Legea nr. 7/2004 privind Codul de conduită a funcţionarilor publici, republicată; </w:t>
            </w:r>
          </w:p>
          <w:p w:rsidR="003944F8" w:rsidRPr="00944923" w:rsidRDefault="003944F8" w:rsidP="00944923">
            <w:pPr>
              <w:spacing w:after="0" w:line="240" w:lineRule="auto"/>
              <w:jc w:val="both"/>
              <w:rPr>
                <w:rFonts w:ascii="Palatino Linotype" w:hAnsi="Palatino Linotype"/>
                <w:sz w:val="24"/>
                <w:szCs w:val="24"/>
              </w:rPr>
            </w:pPr>
          </w:p>
          <w:p w:rsidR="003944F8"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Legea nr. 477/2004 privind Codul de conduită a personalului contractual din autorităţile şi instituţiile publice; </w:t>
            </w:r>
          </w:p>
          <w:p w:rsidR="003944F8" w:rsidRPr="00944923" w:rsidRDefault="003944F8" w:rsidP="00944923">
            <w:pPr>
              <w:spacing w:after="0" w:line="240" w:lineRule="auto"/>
              <w:jc w:val="both"/>
              <w:rPr>
                <w:rFonts w:ascii="Palatino Linotype" w:hAnsi="Palatino Linotype"/>
                <w:sz w:val="24"/>
                <w:szCs w:val="24"/>
              </w:rPr>
            </w:pPr>
          </w:p>
          <w:p w:rsidR="003944F8"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Ordinul Secretariatului General al Guvernului nr. 600/2018 privind aprobarea Codului </w:t>
            </w:r>
            <w:smartTag w:uri="urn:schemas-microsoft-com:office:smarttags" w:element="PersonName">
              <w:r w:rsidRPr="00944923">
                <w:rPr>
                  <w:rFonts w:ascii="Palatino Linotype" w:hAnsi="Palatino Linotype"/>
                  <w:sz w:val="24"/>
                  <w:szCs w:val="24"/>
                </w:rPr>
                <w:t>control</w:t>
              </w:r>
            </w:smartTag>
            <w:r w:rsidRPr="00944923">
              <w:rPr>
                <w:rFonts w:ascii="Palatino Linotype" w:hAnsi="Palatino Linotype"/>
                <w:sz w:val="24"/>
                <w:szCs w:val="24"/>
              </w:rPr>
              <w:t xml:space="preserve">ului intern managerial al entităţilor publice; </w:t>
            </w:r>
          </w:p>
          <w:p w:rsidR="003944F8" w:rsidRPr="00944923" w:rsidRDefault="003944F8" w:rsidP="00944923">
            <w:pPr>
              <w:spacing w:after="0" w:line="240" w:lineRule="auto"/>
              <w:jc w:val="both"/>
              <w:rPr>
                <w:rFonts w:ascii="Palatino Linotype" w:hAnsi="Palatino Linotype"/>
                <w:sz w:val="24"/>
                <w:szCs w:val="24"/>
              </w:rPr>
            </w:pPr>
          </w:p>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Ordine interne/ Memorandumuri.</w:t>
            </w:r>
          </w:p>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      </w:t>
            </w:r>
          </w:p>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sesizări privind încălcări ale normelor</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69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sesizări în curs de soluţionare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45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sesizări soluţionate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409"/>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4.Durata procedurilor</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lang w:val="en-US"/>
              </w:rPr>
              <w:t>“</w:t>
            </w:r>
            <w:r w:rsidRPr="005E587B">
              <w:rPr>
                <w:rFonts w:ascii="Palatino Linotype" w:hAnsi="Palatino Linotype"/>
                <w:i/>
                <w:lang w:val="en-US"/>
              </w:rPr>
              <w:t>nu este cazul/nu se aplică</w:t>
            </w:r>
            <w:r>
              <w:rPr>
                <w:rFonts w:ascii="Palatino Linotype" w:hAnsi="Palatino Linotype"/>
                <w:lang w:val="en-US"/>
              </w:rPr>
              <w:t>“.</w:t>
            </w:r>
          </w:p>
        </w:tc>
      </w:tr>
      <w:tr w:rsidR="003944F8" w:rsidRPr="00944923" w:rsidTr="00944923">
        <w:trPr>
          <w:trHeight w:val="65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prin care s-a confirmat încălcarea normei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5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dispuse diferenţiate pe tipuri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4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decizii ale comisiei anulate sau modificate în instanţă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0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8.Gradul de cunoaştere de către angajaţi a normelor (chestionare de evaluare)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5</w:t>
            </w:r>
          </w:p>
        </w:tc>
      </w:tr>
      <w:tr w:rsidR="003944F8" w:rsidRPr="00944923" w:rsidTr="00944923">
        <w:trPr>
          <w:trHeight w:val="81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activităţi de formare privind normele de conduită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2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persoane care au fost instruite prin intermediul acţiunilor de formare profesională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44</w:t>
            </w:r>
          </w:p>
        </w:tc>
      </w:tr>
      <w:tr w:rsidR="003944F8" w:rsidRPr="00944923" w:rsidTr="00944923">
        <w:trPr>
          <w:trHeight w:val="1417"/>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măsuri administrative adoptate pentru înlăturarea cauzelor sau circumstanţelor care au favorizat încălcarea normelor</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2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per instituţie care au săvârşit abateri disciplinare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01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 de persoane care au săvârşit în mod repetat abateri de la normele respective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26"/>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2</w:t>
            </w:r>
          </w:p>
          <w:p w:rsidR="003944F8" w:rsidRPr="00944923" w:rsidRDefault="003944F8" w:rsidP="00944923">
            <w:pPr>
              <w:spacing w:after="0" w:line="240" w:lineRule="auto"/>
              <w:rPr>
                <w:rFonts w:ascii="Palatino Linotype" w:hAnsi="Palatino Linotype"/>
                <w:sz w:val="24"/>
                <w:szCs w:val="24"/>
              </w:rPr>
            </w:pPr>
          </w:p>
        </w:tc>
        <w:tc>
          <w:tcPr>
            <w:tcW w:w="282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Declararea averilor</w:t>
            </w:r>
          </w:p>
        </w:tc>
        <w:tc>
          <w:tcPr>
            <w:tcW w:w="3417" w:type="dxa"/>
            <w:vMerge w:val="restart"/>
          </w:tcPr>
          <w:p w:rsidR="003944F8"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3944F8" w:rsidRPr="00944923" w:rsidRDefault="003944F8" w:rsidP="00944923">
            <w:pPr>
              <w:spacing w:after="0" w:line="240" w:lineRule="auto"/>
              <w:jc w:val="both"/>
              <w:rPr>
                <w:rFonts w:ascii="Palatino Linotype" w:hAnsi="Palatino Linotype"/>
                <w:sz w:val="24"/>
                <w:szCs w:val="24"/>
              </w:rPr>
            </w:pPr>
          </w:p>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persoane care au obligaţia depunerii declaraţiei de avere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42 functionari publici+ 10 membrii in Consiliul de Administratie</w:t>
            </w:r>
          </w:p>
        </w:tc>
      </w:tr>
      <w:tr w:rsidR="003944F8" w:rsidRPr="00944923" w:rsidTr="00944923">
        <w:trPr>
          <w:trHeight w:val="83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persoane care nu au depus în termen declaraţii de avere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8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persoane care nu au depus declaraţii de avere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1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sesizări ale Agenţia Naţională de Integritate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033"/>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ale Agenţiei Naţională de Integritate ca urmare a sesizărilor transmise de instituţie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047"/>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decizii ale Agenţiei Naţională de Integritate puse în aplicare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56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hotărâri ale instanţelor de judecată ca urmare a sesizărilor Agenţiei Naţională de Integritate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71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măsuri administrative adoptate pentru înlăturarea cauzelor sau circumstanţelor care au favorizat încălcarea normelor privind declararea averilor</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82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consultaţii oferite de persoanele responsabile pentru implementarea prevederilor legale privind declaraţiile de avere şi declaraţiile de interese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40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10.Gradul de cunoaştere de către angajaţi a normelor privind declararea averilor (chestionar de evaluare)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3944F8" w:rsidRPr="00944923" w:rsidTr="00944923">
        <w:trPr>
          <w:trHeight w:val="69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activităţi de formare privind declaraţiile de avere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29"/>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care au fost instruite prin intermediul acţiunilor de formare profesională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50"/>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3</w:t>
            </w:r>
          </w:p>
        </w:tc>
        <w:tc>
          <w:tcPr>
            <w:tcW w:w="282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Declararea cadourilor</w:t>
            </w:r>
          </w:p>
        </w:tc>
        <w:tc>
          <w:tcPr>
            <w:tcW w:w="3417" w:type="dxa"/>
            <w:vMerge w:val="restart"/>
          </w:tcPr>
          <w:p w:rsidR="003944F8" w:rsidRPr="00EE0318" w:rsidRDefault="003944F8" w:rsidP="00944923">
            <w:pPr>
              <w:spacing w:after="0" w:line="240" w:lineRule="auto"/>
              <w:jc w:val="both"/>
              <w:rPr>
                <w:rFonts w:ascii="Palatino Linotype" w:hAnsi="Palatino Linotype"/>
                <w:sz w:val="24"/>
                <w:szCs w:val="24"/>
              </w:rPr>
            </w:pPr>
            <w:r w:rsidRPr="00EE0318">
              <w:rPr>
                <w:rFonts w:ascii="Palatino Linotype" w:hAnsi="Palatino Linotype"/>
                <w:sz w:val="24"/>
                <w:szCs w:val="24"/>
              </w:rPr>
              <w:t>Legea nr. 251/2004 privind unele măsuri referitoare la bunurile primite cu titlu gratuit cu prilejul unor acţiuni de protocol în exercitarea mandatului sau a funcţiei.</w:t>
            </w:r>
          </w:p>
        </w:tc>
        <w:tc>
          <w:tcPr>
            <w:tcW w:w="4221" w:type="dxa"/>
          </w:tcPr>
          <w:p w:rsidR="003944F8" w:rsidRPr="00EE0318" w:rsidRDefault="003944F8" w:rsidP="00944923">
            <w:pPr>
              <w:spacing w:after="0" w:line="240" w:lineRule="auto"/>
              <w:jc w:val="both"/>
              <w:rPr>
                <w:rFonts w:ascii="Palatino Linotype" w:hAnsi="Palatino Linotype"/>
                <w:sz w:val="24"/>
                <w:szCs w:val="24"/>
              </w:rPr>
            </w:pPr>
            <w:r w:rsidRPr="00EE0318">
              <w:rPr>
                <w:rFonts w:ascii="Palatino Linotype" w:hAnsi="Palatino Linotype"/>
                <w:sz w:val="24"/>
                <w:szCs w:val="24"/>
              </w:rPr>
              <w:t>1.Număr de cadouri primite şi înregistrate în registru</w:t>
            </w:r>
          </w:p>
          <w:p w:rsidR="003944F8" w:rsidRPr="00EE0318" w:rsidRDefault="003944F8" w:rsidP="00944923">
            <w:pPr>
              <w:spacing w:after="0" w:line="240" w:lineRule="auto"/>
              <w:jc w:val="both"/>
              <w:rPr>
                <w:rFonts w:ascii="Palatino Linotype" w:hAnsi="Palatino Linotype"/>
                <w:sz w:val="24"/>
                <w:szCs w:val="24"/>
              </w:rPr>
            </w:pP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360"/>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EE0318" w:rsidRDefault="003944F8" w:rsidP="00944923">
            <w:pPr>
              <w:spacing w:after="0" w:line="240" w:lineRule="auto"/>
              <w:jc w:val="both"/>
              <w:rPr>
                <w:rFonts w:ascii="Palatino Linotype" w:hAnsi="Palatino Linotype"/>
                <w:sz w:val="24"/>
                <w:szCs w:val="24"/>
              </w:rPr>
            </w:pPr>
          </w:p>
        </w:tc>
        <w:tc>
          <w:tcPr>
            <w:tcW w:w="4221" w:type="dxa"/>
          </w:tcPr>
          <w:p w:rsidR="003944F8" w:rsidRPr="00EE0318" w:rsidRDefault="003944F8" w:rsidP="00944923">
            <w:pPr>
              <w:spacing w:after="0" w:line="240" w:lineRule="auto"/>
              <w:jc w:val="both"/>
              <w:rPr>
                <w:rFonts w:ascii="Palatino Linotype" w:hAnsi="Palatino Linotype"/>
                <w:sz w:val="24"/>
                <w:szCs w:val="24"/>
              </w:rPr>
            </w:pPr>
            <w:r w:rsidRPr="00EE0318">
              <w:rPr>
                <w:rFonts w:ascii="Palatino Linotype" w:hAnsi="Palatino Linotype"/>
                <w:sz w:val="24"/>
                <w:szCs w:val="24"/>
              </w:rPr>
              <w:t>2.Publicarea anuală a inventarului pe site-ul instituţiei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60"/>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situaţii în care s-a achiziţionat cadoul</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416"/>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4.Valoarea cadourilor achiziţionate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34"/>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5.Valoarea cadourilor primite (per cadou şi în total)</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560"/>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6.Valoarea bunurilor valorificate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415"/>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4</w:t>
            </w:r>
          </w:p>
        </w:tc>
        <w:tc>
          <w:tcPr>
            <w:tcW w:w="282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Conflicte de interese</w:t>
            </w:r>
          </w:p>
        </w:tc>
        <w:tc>
          <w:tcPr>
            <w:tcW w:w="3417" w:type="dxa"/>
            <w:vMerge w:val="restart"/>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 xml:space="preserve"> Legea nr. 161/2003 privind unele măsuri pentru asigurarea transparenţei în exercitarea demnităţilor publice, a funcţiilor publice şi în mediul de afaceri, prevenirea şi sancţionarea corupţiei, cu modificările şi completările ulterioare;</w:t>
            </w:r>
          </w:p>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Codul penal.</w:t>
            </w:r>
          </w:p>
        </w:tc>
        <w:tc>
          <w:tcPr>
            <w:tcW w:w="4221" w:type="dxa"/>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1.Număr de declaraţii de abţinere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387"/>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AE719D" w:rsidRDefault="003944F8" w:rsidP="00944923">
            <w:pPr>
              <w:spacing w:after="0" w:line="240" w:lineRule="auto"/>
              <w:jc w:val="both"/>
              <w:rPr>
                <w:rFonts w:ascii="Palatino Linotype" w:hAnsi="Palatino Linotype"/>
                <w:sz w:val="24"/>
                <w:szCs w:val="24"/>
              </w:rPr>
            </w:pPr>
          </w:p>
        </w:tc>
        <w:tc>
          <w:tcPr>
            <w:tcW w:w="4221" w:type="dxa"/>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2.Număr de situaţii în care superiorul ierarhic a dispus înlocuirea persoanei aflate în situaţia de potenţial conflict de interese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2399"/>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AE719D" w:rsidRDefault="003944F8" w:rsidP="00944923">
            <w:pPr>
              <w:spacing w:after="0" w:line="240" w:lineRule="auto"/>
              <w:jc w:val="both"/>
              <w:rPr>
                <w:rFonts w:ascii="Palatino Linotype" w:hAnsi="Palatino Linotype"/>
                <w:sz w:val="24"/>
                <w:szCs w:val="24"/>
              </w:rPr>
            </w:pPr>
          </w:p>
        </w:tc>
        <w:tc>
          <w:tcPr>
            <w:tcW w:w="4221" w:type="dxa"/>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3.Număr de sesizări primite de instituţie de la terţe persoane cu privire la existenţa unui conflict de interese</w:t>
            </w:r>
          </w:p>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Număr de decizii ANI prin care s-a constatat starea de conflict de interese</w:t>
            </w:r>
          </w:p>
        </w:tc>
        <w:tc>
          <w:tcPr>
            <w:tcW w:w="2812" w:type="dxa"/>
          </w:tcPr>
          <w:p w:rsidR="003944F8"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p w:rsidR="003944F8" w:rsidRDefault="003944F8" w:rsidP="006D39A1">
            <w:pPr>
              <w:spacing w:after="0" w:line="240" w:lineRule="auto"/>
              <w:jc w:val="center"/>
              <w:rPr>
                <w:rFonts w:ascii="Palatino Linotype" w:hAnsi="Palatino Linotype"/>
                <w:sz w:val="24"/>
                <w:szCs w:val="24"/>
              </w:rPr>
            </w:pPr>
          </w:p>
          <w:p w:rsidR="003944F8" w:rsidRDefault="003944F8" w:rsidP="006D39A1">
            <w:pPr>
              <w:spacing w:after="0" w:line="240" w:lineRule="auto"/>
              <w:jc w:val="center"/>
              <w:rPr>
                <w:rFonts w:ascii="Palatino Linotype" w:hAnsi="Palatino Linotype"/>
                <w:sz w:val="24"/>
                <w:szCs w:val="24"/>
              </w:rPr>
            </w:pPr>
          </w:p>
          <w:p w:rsidR="003944F8" w:rsidRDefault="003944F8" w:rsidP="006D39A1">
            <w:pPr>
              <w:spacing w:after="0" w:line="240" w:lineRule="auto"/>
              <w:jc w:val="center"/>
              <w:rPr>
                <w:rFonts w:ascii="Palatino Linotype" w:hAnsi="Palatino Linotype"/>
                <w:sz w:val="24"/>
                <w:szCs w:val="24"/>
              </w:rPr>
            </w:pPr>
          </w:p>
          <w:p w:rsidR="003944F8" w:rsidRDefault="003944F8" w:rsidP="006D39A1">
            <w:pPr>
              <w:spacing w:after="0" w:line="240" w:lineRule="auto"/>
              <w:jc w:val="center"/>
              <w:rPr>
                <w:rFonts w:ascii="Palatino Linotype" w:hAnsi="Palatino Linotype"/>
                <w:sz w:val="24"/>
                <w:szCs w:val="24"/>
              </w:rPr>
            </w:pPr>
          </w:p>
          <w:p w:rsidR="003944F8" w:rsidRDefault="003944F8" w:rsidP="006D39A1">
            <w:pPr>
              <w:spacing w:after="0" w:line="240" w:lineRule="auto"/>
              <w:jc w:val="center"/>
              <w:rPr>
                <w:rFonts w:ascii="Palatino Linotype" w:hAnsi="Palatino Linotype"/>
                <w:sz w:val="24"/>
                <w:szCs w:val="24"/>
              </w:rPr>
            </w:pPr>
          </w:p>
          <w:p w:rsidR="003944F8" w:rsidRDefault="003944F8" w:rsidP="006D39A1">
            <w:pPr>
              <w:spacing w:after="0" w:line="240" w:lineRule="auto"/>
              <w:jc w:val="center"/>
              <w:rPr>
                <w:rFonts w:ascii="Palatino Linotype" w:hAnsi="Palatino Linotype"/>
                <w:sz w:val="24"/>
                <w:szCs w:val="24"/>
              </w:rPr>
            </w:pPr>
          </w:p>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58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AE719D" w:rsidRDefault="003944F8" w:rsidP="00944923">
            <w:pPr>
              <w:spacing w:after="0" w:line="240" w:lineRule="auto"/>
              <w:jc w:val="both"/>
              <w:rPr>
                <w:rFonts w:ascii="Palatino Linotype" w:hAnsi="Palatino Linotype"/>
                <w:sz w:val="24"/>
                <w:szCs w:val="24"/>
              </w:rPr>
            </w:pPr>
          </w:p>
        </w:tc>
        <w:tc>
          <w:tcPr>
            <w:tcW w:w="4221" w:type="dxa"/>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4.Număr de sesizări ale parchetului privind posibila săvârşire a infracţiunii de conflict de interese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13"/>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AE719D" w:rsidRDefault="003944F8" w:rsidP="00944923">
            <w:pPr>
              <w:spacing w:after="0" w:line="240" w:lineRule="auto"/>
              <w:jc w:val="both"/>
              <w:rPr>
                <w:rFonts w:ascii="Palatino Linotype" w:hAnsi="Palatino Linotype"/>
                <w:sz w:val="24"/>
                <w:szCs w:val="24"/>
              </w:rPr>
            </w:pPr>
          </w:p>
        </w:tc>
        <w:tc>
          <w:tcPr>
            <w:tcW w:w="4221" w:type="dxa"/>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5.Număr de rechizitorii/condamnări privind săvârşirea infracţiunii de conflict de interese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1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AE719D" w:rsidRDefault="003944F8" w:rsidP="00944923">
            <w:pPr>
              <w:spacing w:after="0" w:line="240" w:lineRule="auto"/>
              <w:jc w:val="both"/>
              <w:rPr>
                <w:rFonts w:ascii="Palatino Linotype" w:hAnsi="Palatino Linotype"/>
                <w:sz w:val="24"/>
                <w:szCs w:val="24"/>
              </w:rPr>
            </w:pPr>
          </w:p>
        </w:tc>
        <w:tc>
          <w:tcPr>
            <w:tcW w:w="4221" w:type="dxa"/>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6.Gradul de cunoaştere de către angajaţi a normelor privind conflictul de interese (chestionar de evaluare)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3944F8" w:rsidRPr="00944923" w:rsidTr="00944923">
        <w:trPr>
          <w:trHeight w:val="551"/>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activităţi de formare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3</w:t>
            </w:r>
          </w:p>
        </w:tc>
      </w:tr>
      <w:tr w:rsidR="003944F8" w:rsidRPr="00944923" w:rsidTr="00944923">
        <w:trPr>
          <w:trHeight w:val="112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persoane care au fost instruite prin intermediul acţiunilor de formare profesională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44</w:t>
            </w:r>
          </w:p>
        </w:tc>
      </w:tr>
      <w:tr w:rsidR="003944F8" w:rsidRPr="00944923" w:rsidTr="00944923">
        <w:trPr>
          <w:trHeight w:val="70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9.Nr. de proceduri de achiziţie analizate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5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10.Nr. de avertismente de integritate emise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41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11.Nr. de conflicte de interese prevenite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502"/>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5</w:t>
            </w:r>
          </w:p>
        </w:tc>
        <w:tc>
          <w:tcPr>
            <w:tcW w:w="282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Consilier de etică</w:t>
            </w:r>
          </w:p>
        </w:tc>
        <w:tc>
          <w:tcPr>
            <w:tcW w:w="3417" w:type="dxa"/>
            <w:vMerge w:val="restart"/>
          </w:tcPr>
          <w:p w:rsidR="003944F8"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188/1999 privind Statutul funcţionarilor publici, republicată, cu modificările şi completările ulterioare;</w:t>
            </w:r>
          </w:p>
          <w:p w:rsidR="003944F8" w:rsidRDefault="003944F8" w:rsidP="00944923">
            <w:pPr>
              <w:spacing w:after="0" w:line="240" w:lineRule="auto"/>
              <w:jc w:val="both"/>
              <w:rPr>
                <w:rFonts w:ascii="Palatino Linotype" w:hAnsi="Palatino Linotype"/>
                <w:sz w:val="24"/>
                <w:szCs w:val="24"/>
              </w:rPr>
            </w:pPr>
          </w:p>
          <w:p w:rsidR="003944F8" w:rsidRPr="00944923" w:rsidRDefault="003944F8" w:rsidP="00944923">
            <w:pPr>
              <w:spacing w:after="0" w:line="240" w:lineRule="auto"/>
              <w:jc w:val="both"/>
              <w:rPr>
                <w:rFonts w:ascii="Palatino Linotype" w:hAnsi="Palatino Linotype"/>
                <w:sz w:val="24"/>
                <w:szCs w:val="24"/>
              </w:rPr>
            </w:pPr>
          </w:p>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7/2004 privind Codul de conduită a funcţionarilor publici, republicată</w:t>
            </w: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şedinţe de consultare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34"/>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angajaţi care au beneficiat de consiliere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385"/>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speţe, diferenţiate pe tipologii de dileme etice</w:t>
            </w:r>
          </w:p>
          <w:p w:rsidR="003944F8" w:rsidRPr="00944923" w:rsidRDefault="003944F8" w:rsidP="00944923">
            <w:pPr>
              <w:spacing w:after="0" w:line="240" w:lineRule="auto"/>
              <w:jc w:val="both"/>
              <w:rPr>
                <w:rFonts w:ascii="Palatino Linotype" w:hAnsi="Palatino Linotype"/>
                <w:sz w:val="24"/>
                <w:szCs w:val="24"/>
              </w:rPr>
            </w:pP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430"/>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4.Gradul de cunoaştere de către angajaţi a normelor privind consilierul etic (chestionar de evaluare)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3944F8" w:rsidRPr="00944923" w:rsidTr="00944923">
        <w:trPr>
          <w:trHeight w:val="840"/>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5.Gradul de popularizare a rolului consilierului de etică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3944F8" w:rsidRPr="00944923" w:rsidTr="00944923">
        <w:trPr>
          <w:trHeight w:val="401"/>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activităţi de formare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3</w:t>
            </w:r>
          </w:p>
        </w:tc>
      </w:tr>
      <w:tr w:rsidR="003944F8" w:rsidRPr="00944923" w:rsidTr="00944923">
        <w:trPr>
          <w:trHeight w:val="1229"/>
        </w:trPr>
        <w:tc>
          <w:tcPr>
            <w:tcW w:w="990" w:type="dxa"/>
            <w:vMerge/>
          </w:tcPr>
          <w:p w:rsidR="003944F8" w:rsidRPr="00944923" w:rsidRDefault="003944F8" w:rsidP="00944923">
            <w:pPr>
              <w:spacing w:after="0" w:line="240" w:lineRule="auto"/>
              <w:jc w:val="center"/>
              <w:rPr>
                <w:rFonts w:ascii="Palatino Linotype" w:hAnsi="Palatino Linotype"/>
                <w:b/>
                <w:sz w:val="24"/>
                <w:szCs w:val="24"/>
              </w:rPr>
            </w:pPr>
          </w:p>
        </w:tc>
        <w:tc>
          <w:tcPr>
            <w:tcW w:w="2820" w:type="dxa"/>
            <w:vMerge/>
          </w:tcPr>
          <w:p w:rsidR="003944F8" w:rsidRPr="00944923" w:rsidRDefault="003944F8" w:rsidP="00944923">
            <w:pPr>
              <w:spacing w:after="0" w:line="240" w:lineRule="auto"/>
              <w:jc w:val="center"/>
              <w:rPr>
                <w:rFonts w:ascii="Palatino Linotype" w:hAnsi="Palatino Linotype"/>
                <w:b/>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persoane care au fost instruite prin intermediul acţiunilor de formare profesională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50"/>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6</w:t>
            </w:r>
          </w:p>
        </w:tc>
        <w:tc>
          <w:tcPr>
            <w:tcW w:w="282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Incompatibilităţi</w:t>
            </w:r>
          </w:p>
        </w:tc>
        <w:tc>
          <w:tcPr>
            <w:tcW w:w="3417" w:type="dxa"/>
            <w:vMerge w:val="restart"/>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persoane aflate în stare de incompatibilitate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8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sesizări ale ANI formulate de către instituţie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48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sesizări primite de instituţie de la terţe persoane cu privire la existenţa unei incompatibilităţi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8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decizii ale ANI cu privire la constatarea unor incompatibilităţi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6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confirmate de instanţă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75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administrative adoptate pentru înlăturarea cauzelor sau circumstanţelor care au favorizat încălcarea normelor privind incompatibilităţile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2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7.Gradul de cunoaştere de către angajaţi a normelor privind conflictul de interese (chestionar de evaluare)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3944F8" w:rsidRPr="00944923" w:rsidTr="00944923">
        <w:trPr>
          <w:trHeight w:val="48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activităţi de formare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3</w:t>
            </w:r>
          </w:p>
        </w:tc>
      </w:tr>
      <w:tr w:rsidR="003944F8" w:rsidRPr="00944923" w:rsidTr="00944923">
        <w:trPr>
          <w:trHeight w:val="112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persoane care au fost instruite prin intermediul acţiunilor de formare profesională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72"/>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7</w:t>
            </w:r>
          </w:p>
        </w:tc>
        <w:tc>
          <w:tcPr>
            <w:tcW w:w="2820" w:type="dxa"/>
            <w:vMerge w:val="restart"/>
          </w:tcPr>
          <w:p w:rsidR="003944F8" w:rsidRPr="00944923" w:rsidRDefault="003944F8"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Transparenţă în procesul decizional</w:t>
            </w:r>
          </w:p>
        </w:tc>
        <w:tc>
          <w:tcPr>
            <w:tcW w:w="3417" w:type="dxa"/>
            <w:vMerge w:val="restart"/>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52/2003 privind transparenţa decizională în administraţia publică, cu modificările şi completările ulterioare.</w:t>
            </w: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proiecte de acte normative adoptate</w:t>
            </w:r>
          </w:p>
        </w:tc>
        <w:tc>
          <w:tcPr>
            <w:tcW w:w="2812" w:type="dxa"/>
          </w:tcPr>
          <w:p w:rsidR="003944F8" w:rsidRDefault="003944F8" w:rsidP="006D39A1">
            <w:pPr>
              <w:jc w:val="center"/>
            </w:pPr>
            <w:r w:rsidRPr="006C60F9">
              <w:rPr>
                <w:rFonts w:ascii="Palatino Linotype" w:hAnsi="Palatino Linotype"/>
                <w:lang w:val="en-US"/>
              </w:rPr>
              <w:t>“</w:t>
            </w:r>
            <w:r w:rsidRPr="006C60F9">
              <w:rPr>
                <w:rFonts w:ascii="Palatino Linotype" w:hAnsi="Palatino Linotype"/>
                <w:i/>
                <w:lang w:val="en-US"/>
              </w:rPr>
              <w:t>nu este cazul/nu se aplică</w:t>
            </w:r>
            <w:r w:rsidRPr="006C60F9">
              <w:rPr>
                <w:rFonts w:ascii="Palatino Linotype" w:hAnsi="Palatino Linotype"/>
                <w:lang w:val="en-US"/>
              </w:rPr>
              <w:t>“.</w:t>
            </w:r>
          </w:p>
        </w:tc>
      </w:tr>
      <w:tr w:rsidR="003944F8" w:rsidRPr="00944923" w:rsidTr="00944923">
        <w:trPr>
          <w:trHeight w:val="85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anunţuri publice privind proiectele de acte normative</w:t>
            </w:r>
          </w:p>
        </w:tc>
        <w:tc>
          <w:tcPr>
            <w:tcW w:w="2812" w:type="dxa"/>
          </w:tcPr>
          <w:p w:rsidR="003944F8" w:rsidRDefault="003944F8" w:rsidP="006D39A1">
            <w:pPr>
              <w:jc w:val="center"/>
            </w:pPr>
            <w:r w:rsidRPr="006C60F9">
              <w:rPr>
                <w:rFonts w:ascii="Palatino Linotype" w:hAnsi="Palatino Linotype"/>
                <w:lang w:val="en-US"/>
              </w:rPr>
              <w:t>“</w:t>
            </w:r>
            <w:r w:rsidRPr="006C60F9">
              <w:rPr>
                <w:rFonts w:ascii="Palatino Linotype" w:hAnsi="Palatino Linotype"/>
                <w:i/>
                <w:lang w:val="en-US"/>
              </w:rPr>
              <w:t>nu este cazul/nu se aplică</w:t>
            </w:r>
            <w:r w:rsidRPr="006C60F9">
              <w:rPr>
                <w:rFonts w:ascii="Palatino Linotype" w:hAnsi="Palatino Linotype"/>
                <w:lang w:val="en-US"/>
              </w:rPr>
              <w:t>“.</w:t>
            </w:r>
          </w:p>
        </w:tc>
      </w:tr>
      <w:tr w:rsidR="003944F8" w:rsidRPr="00944923" w:rsidTr="00944923">
        <w:trPr>
          <w:trHeight w:val="190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recomandări transmise de societatea civilă în procesul de transparenţă decizională asigurat pentru iniţierea, modificarea sau completarea unor acte normative</w:t>
            </w:r>
          </w:p>
        </w:tc>
        <w:tc>
          <w:tcPr>
            <w:tcW w:w="2812" w:type="dxa"/>
          </w:tcPr>
          <w:p w:rsidR="003944F8" w:rsidRDefault="003944F8" w:rsidP="006D39A1">
            <w:pPr>
              <w:jc w:val="center"/>
            </w:pPr>
            <w:r w:rsidRPr="006C60F9">
              <w:rPr>
                <w:rFonts w:ascii="Palatino Linotype" w:hAnsi="Palatino Linotype"/>
                <w:lang w:val="en-US"/>
              </w:rPr>
              <w:t>“</w:t>
            </w:r>
            <w:r w:rsidRPr="006C60F9">
              <w:rPr>
                <w:rFonts w:ascii="Palatino Linotype" w:hAnsi="Palatino Linotype"/>
                <w:i/>
                <w:lang w:val="en-US"/>
              </w:rPr>
              <w:t>nu este cazul/nu se aplică</w:t>
            </w:r>
            <w:r w:rsidRPr="006C60F9">
              <w:rPr>
                <w:rFonts w:ascii="Palatino Linotype" w:hAnsi="Palatino Linotype"/>
                <w:lang w:val="en-US"/>
              </w:rPr>
              <w:t>“.</w:t>
            </w:r>
          </w:p>
        </w:tc>
      </w:tr>
      <w:tr w:rsidR="003944F8" w:rsidRPr="00944923" w:rsidTr="00944923">
        <w:trPr>
          <w:trHeight w:val="2693"/>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2812" w:type="dxa"/>
          </w:tcPr>
          <w:p w:rsidR="003944F8" w:rsidRDefault="003944F8" w:rsidP="006D39A1">
            <w:pPr>
              <w:jc w:val="center"/>
            </w:pPr>
            <w:r w:rsidRPr="004A3E29">
              <w:rPr>
                <w:rFonts w:ascii="Palatino Linotype" w:hAnsi="Palatino Linotype"/>
                <w:lang w:val="en-US"/>
              </w:rPr>
              <w:t>“</w:t>
            </w:r>
            <w:r w:rsidRPr="004A3E29">
              <w:rPr>
                <w:rFonts w:ascii="Palatino Linotype" w:hAnsi="Palatino Linotype"/>
                <w:i/>
                <w:lang w:val="en-US"/>
              </w:rPr>
              <w:t>nu este cazul/nu se aplică</w:t>
            </w:r>
            <w:r w:rsidRPr="004A3E29">
              <w:rPr>
                <w:rFonts w:ascii="Palatino Linotype" w:hAnsi="Palatino Linotype"/>
                <w:lang w:val="en-US"/>
              </w:rPr>
              <w:t>“.</w:t>
            </w:r>
          </w:p>
        </w:tc>
      </w:tr>
      <w:tr w:rsidR="003944F8" w:rsidRPr="00944923" w:rsidTr="00944923">
        <w:trPr>
          <w:trHeight w:val="108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proiecte de acte normative modificate în urma procesului de consultare</w:t>
            </w:r>
          </w:p>
        </w:tc>
        <w:tc>
          <w:tcPr>
            <w:tcW w:w="2812" w:type="dxa"/>
          </w:tcPr>
          <w:p w:rsidR="003944F8" w:rsidRDefault="003944F8" w:rsidP="006D39A1">
            <w:pPr>
              <w:jc w:val="center"/>
            </w:pPr>
            <w:r w:rsidRPr="004A3E29">
              <w:rPr>
                <w:rFonts w:ascii="Palatino Linotype" w:hAnsi="Palatino Linotype"/>
                <w:lang w:val="en-US"/>
              </w:rPr>
              <w:t>“</w:t>
            </w:r>
            <w:r w:rsidRPr="004A3E29">
              <w:rPr>
                <w:rFonts w:ascii="Palatino Linotype" w:hAnsi="Palatino Linotype"/>
                <w:i/>
                <w:lang w:val="en-US"/>
              </w:rPr>
              <w:t>nu este cazul/nu se aplică</w:t>
            </w:r>
            <w:r w:rsidRPr="004A3E29">
              <w:rPr>
                <w:rFonts w:ascii="Palatino Linotype" w:hAnsi="Palatino Linotype"/>
                <w:lang w:val="en-US"/>
              </w:rPr>
              <w:t>“.</w:t>
            </w:r>
          </w:p>
        </w:tc>
      </w:tr>
      <w:tr w:rsidR="003944F8" w:rsidRPr="00944923" w:rsidTr="00944923">
        <w:trPr>
          <w:trHeight w:val="102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propuneri, sugestii sau opinii preluate în forma finală a actului normativ</w:t>
            </w:r>
          </w:p>
        </w:tc>
        <w:tc>
          <w:tcPr>
            <w:tcW w:w="2812" w:type="dxa"/>
          </w:tcPr>
          <w:p w:rsidR="003944F8" w:rsidRDefault="003944F8" w:rsidP="006D39A1">
            <w:pPr>
              <w:jc w:val="center"/>
            </w:pPr>
            <w:r w:rsidRPr="004A3E29">
              <w:rPr>
                <w:rFonts w:ascii="Palatino Linotype" w:hAnsi="Palatino Linotype"/>
                <w:lang w:val="en-US"/>
              </w:rPr>
              <w:t>“</w:t>
            </w:r>
            <w:r w:rsidRPr="004A3E29">
              <w:rPr>
                <w:rFonts w:ascii="Palatino Linotype" w:hAnsi="Palatino Linotype"/>
                <w:i/>
                <w:lang w:val="en-US"/>
              </w:rPr>
              <w:t>nu este cazul/nu se aplică</w:t>
            </w:r>
            <w:r w:rsidRPr="004A3E29">
              <w:rPr>
                <w:rFonts w:ascii="Palatino Linotype" w:hAnsi="Palatino Linotype"/>
                <w:lang w:val="en-US"/>
              </w:rPr>
              <w:t>“.</w:t>
            </w:r>
          </w:p>
        </w:tc>
      </w:tr>
      <w:tr w:rsidR="003944F8" w:rsidRPr="00944923" w:rsidTr="00944923">
        <w:trPr>
          <w:trHeight w:val="73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răspunsuri la propunerile, sugestiile sau opiniile nepreluate</w:t>
            </w:r>
          </w:p>
        </w:tc>
        <w:tc>
          <w:tcPr>
            <w:tcW w:w="2812" w:type="dxa"/>
          </w:tcPr>
          <w:p w:rsidR="003944F8" w:rsidRDefault="003944F8" w:rsidP="006D39A1">
            <w:pPr>
              <w:jc w:val="center"/>
            </w:pPr>
            <w:r w:rsidRPr="004A3E29">
              <w:rPr>
                <w:rFonts w:ascii="Palatino Linotype" w:hAnsi="Palatino Linotype"/>
                <w:lang w:val="en-US"/>
              </w:rPr>
              <w:t>“</w:t>
            </w:r>
            <w:r w:rsidRPr="004A3E29">
              <w:rPr>
                <w:rFonts w:ascii="Palatino Linotype" w:hAnsi="Palatino Linotype"/>
                <w:i/>
                <w:lang w:val="en-US"/>
              </w:rPr>
              <w:t>nu este cazul/nu se aplică</w:t>
            </w:r>
            <w:r w:rsidRPr="004A3E29">
              <w:rPr>
                <w:rFonts w:ascii="Palatino Linotype" w:hAnsi="Palatino Linotype"/>
                <w:lang w:val="en-US"/>
              </w:rPr>
              <w:t>“.</w:t>
            </w:r>
          </w:p>
        </w:tc>
      </w:tr>
      <w:tr w:rsidR="003944F8" w:rsidRPr="00944923" w:rsidTr="00944923">
        <w:trPr>
          <w:trHeight w:val="73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şedinţe publice organizate la iniţiativa instituţiei</w:t>
            </w:r>
          </w:p>
        </w:tc>
        <w:tc>
          <w:tcPr>
            <w:tcW w:w="2812" w:type="dxa"/>
          </w:tcPr>
          <w:p w:rsidR="003944F8" w:rsidRDefault="003944F8" w:rsidP="006D39A1">
            <w:pPr>
              <w:jc w:val="center"/>
            </w:pPr>
            <w:r w:rsidRPr="00D93C6F">
              <w:rPr>
                <w:rFonts w:ascii="Palatino Linotype" w:hAnsi="Palatino Linotype"/>
                <w:lang w:val="en-US"/>
              </w:rPr>
              <w:t>“</w:t>
            </w:r>
            <w:r w:rsidRPr="00D93C6F">
              <w:rPr>
                <w:rFonts w:ascii="Palatino Linotype" w:hAnsi="Palatino Linotype"/>
                <w:i/>
                <w:lang w:val="en-US"/>
              </w:rPr>
              <w:t>nu este cazul/nu se aplică</w:t>
            </w:r>
            <w:r w:rsidRPr="00D93C6F">
              <w:rPr>
                <w:rFonts w:ascii="Palatino Linotype" w:hAnsi="Palatino Linotype"/>
                <w:lang w:val="en-US"/>
              </w:rPr>
              <w:t>“.</w:t>
            </w:r>
          </w:p>
        </w:tc>
      </w:tr>
      <w:tr w:rsidR="003944F8" w:rsidRPr="00944923" w:rsidTr="00944923">
        <w:trPr>
          <w:trHeight w:val="83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participanţi la şedinţele publice</w:t>
            </w:r>
          </w:p>
        </w:tc>
        <w:tc>
          <w:tcPr>
            <w:tcW w:w="2812" w:type="dxa"/>
          </w:tcPr>
          <w:p w:rsidR="003944F8" w:rsidRDefault="003944F8" w:rsidP="006D39A1">
            <w:pPr>
              <w:jc w:val="center"/>
            </w:pPr>
            <w:r w:rsidRPr="00D93C6F">
              <w:rPr>
                <w:rFonts w:ascii="Palatino Linotype" w:hAnsi="Palatino Linotype"/>
                <w:lang w:val="en-US"/>
              </w:rPr>
              <w:t>“</w:t>
            </w:r>
            <w:r w:rsidRPr="00D93C6F">
              <w:rPr>
                <w:rFonts w:ascii="Palatino Linotype" w:hAnsi="Palatino Linotype"/>
                <w:i/>
                <w:lang w:val="en-US"/>
              </w:rPr>
              <w:t>nu este cazul/nu se aplică</w:t>
            </w:r>
            <w:r w:rsidRPr="00D93C6F">
              <w:rPr>
                <w:rFonts w:ascii="Palatino Linotype" w:hAnsi="Palatino Linotype"/>
                <w:lang w:val="en-US"/>
              </w:rPr>
              <w:t>“.</w:t>
            </w:r>
          </w:p>
        </w:tc>
      </w:tr>
      <w:tr w:rsidR="003944F8" w:rsidRPr="00944923" w:rsidTr="00944923">
        <w:trPr>
          <w:trHeight w:val="42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cetăţeni/organizaţii neguvernamentale înscrişi/înscrise în baza de date a instituţiei pentru a fi informaţi/informate în legătură cu proiectele de acte normative</w:t>
            </w:r>
          </w:p>
        </w:tc>
        <w:tc>
          <w:tcPr>
            <w:tcW w:w="2812" w:type="dxa"/>
          </w:tcPr>
          <w:p w:rsidR="003944F8" w:rsidRDefault="003944F8" w:rsidP="006D39A1">
            <w:pPr>
              <w:jc w:val="center"/>
            </w:pPr>
            <w:r w:rsidRPr="00D93C6F">
              <w:rPr>
                <w:rFonts w:ascii="Palatino Linotype" w:hAnsi="Palatino Linotype"/>
                <w:lang w:val="en-US"/>
              </w:rPr>
              <w:t>“</w:t>
            </w:r>
            <w:r w:rsidRPr="00D93C6F">
              <w:rPr>
                <w:rFonts w:ascii="Palatino Linotype" w:hAnsi="Palatino Linotype"/>
                <w:i/>
                <w:lang w:val="en-US"/>
              </w:rPr>
              <w:t>nu este cazul/nu se aplică</w:t>
            </w:r>
            <w:r w:rsidRPr="00D93C6F">
              <w:rPr>
                <w:rFonts w:ascii="Palatino Linotype" w:hAnsi="Palatino Linotype"/>
                <w:lang w:val="en-US"/>
              </w:rPr>
              <w:t>“.</w:t>
            </w:r>
          </w:p>
        </w:tc>
      </w:tr>
      <w:tr w:rsidR="003944F8" w:rsidRPr="00944923" w:rsidTr="00944923">
        <w:trPr>
          <w:trHeight w:val="841"/>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şedinţe publice organizate la solicitarea societăţii civile</w:t>
            </w:r>
          </w:p>
        </w:tc>
        <w:tc>
          <w:tcPr>
            <w:tcW w:w="2812" w:type="dxa"/>
          </w:tcPr>
          <w:p w:rsidR="003944F8" w:rsidRDefault="003944F8" w:rsidP="006D39A1">
            <w:pPr>
              <w:jc w:val="center"/>
            </w:pPr>
            <w:r w:rsidRPr="002918EB">
              <w:rPr>
                <w:rFonts w:ascii="Palatino Linotype" w:hAnsi="Palatino Linotype"/>
                <w:lang w:val="en-US"/>
              </w:rPr>
              <w:t>“</w:t>
            </w:r>
            <w:r w:rsidRPr="002918EB">
              <w:rPr>
                <w:rFonts w:ascii="Palatino Linotype" w:hAnsi="Palatino Linotype"/>
                <w:i/>
                <w:lang w:val="en-US"/>
              </w:rPr>
              <w:t>nu este cazul/nu se aplică</w:t>
            </w:r>
            <w:r w:rsidRPr="002918EB">
              <w:rPr>
                <w:rFonts w:ascii="Palatino Linotype" w:hAnsi="Palatino Linotype"/>
                <w:lang w:val="en-US"/>
              </w:rPr>
              <w:t>“.</w:t>
            </w:r>
          </w:p>
        </w:tc>
      </w:tr>
      <w:tr w:rsidR="003944F8" w:rsidRPr="00944923" w:rsidTr="00944923">
        <w:trPr>
          <w:trHeight w:val="84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minute publicate, realizate la şedinţele publice</w:t>
            </w:r>
          </w:p>
        </w:tc>
        <w:tc>
          <w:tcPr>
            <w:tcW w:w="2812" w:type="dxa"/>
          </w:tcPr>
          <w:p w:rsidR="003944F8" w:rsidRDefault="003944F8" w:rsidP="006D39A1">
            <w:pPr>
              <w:jc w:val="center"/>
            </w:pPr>
            <w:r w:rsidRPr="002918EB">
              <w:rPr>
                <w:rFonts w:ascii="Palatino Linotype" w:hAnsi="Palatino Linotype"/>
                <w:lang w:val="en-US"/>
              </w:rPr>
              <w:t>“</w:t>
            </w:r>
            <w:r w:rsidRPr="002918EB">
              <w:rPr>
                <w:rFonts w:ascii="Palatino Linotype" w:hAnsi="Palatino Linotype"/>
                <w:i/>
                <w:lang w:val="en-US"/>
              </w:rPr>
              <w:t>nu este cazul/nu se aplică</w:t>
            </w:r>
            <w:r w:rsidRPr="002918EB">
              <w:rPr>
                <w:rFonts w:ascii="Palatino Linotype" w:hAnsi="Palatino Linotype"/>
                <w:lang w:val="en-US"/>
              </w:rPr>
              <w:t>“.</w:t>
            </w:r>
          </w:p>
        </w:tc>
      </w:tr>
      <w:tr w:rsidR="003944F8" w:rsidRPr="00944923" w:rsidTr="00944923">
        <w:trPr>
          <w:trHeight w:val="1041"/>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 de plângeri în justiţie privind nerespectarea prevederilor legale de către instituţie</w:t>
            </w:r>
          </w:p>
        </w:tc>
        <w:tc>
          <w:tcPr>
            <w:tcW w:w="2812" w:type="dxa"/>
          </w:tcPr>
          <w:p w:rsidR="003944F8" w:rsidRDefault="003944F8" w:rsidP="006D39A1">
            <w:pPr>
              <w:jc w:val="center"/>
            </w:pPr>
            <w:r w:rsidRPr="006566B9">
              <w:rPr>
                <w:rFonts w:ascii="Palatino Linotype" w:hAnsi="Palatino Linotype"/>
                <w:lang w:val="en-US"/>
              </w:rPr>
              <w:t>“</w:t>
            </w:r>
            <w:r w:rsidRPr="006566B9">
              <w:rPr>
                <w:rFonts w:ascii="Palatino Linotype" w:hAnsi="Palatino Linotype"/>
                <w:i/>
                <w:lang w:val="en-US"/>
              </w:rPr>
              <w:t>nu este cazul/nu se aplică</w:t>
            </w:r>
            <w:r w:rsidRPr="006566B9">
              <w:rPr>
                <w:rFonts w:ascii="Palatino Linotype" w:hAnsi="Palatino Linotype"/>
                <w:lang w:val="en-US"/>
              </w:rPr>
              <w:t>“.</w:t>
            </w:r>
          </w:p>
        </w:tc>
      </w:tr>
      <w:tr w:rsidR="003944F8" w:rsidRPr="00944923" w:rsidTr="00944923">
        <w:trPr>
          <w:trHeight w:val="107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17528D" w:rsidRDefault="003944F8"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14.Numărul şi tipul de sancţiuni dispuse pentru încălcarea obligaţiilor legale</w:t>
            </w:r>
          </w:p>
        </w:tc>
        <w:tc>
          <w:tcPr>
            <w:tcW w:w="2812" w:type="dxa"/>
          </w:tcPr>
          <w:p w:rsidR="003944F8" w:rsidRDefault="003944F8" w:rsidP="006D39A1">
            <w:pPr>
              <w:jc w:val="center"/>
            </w:pPr>
            <w:r w:rsidRPr="006566B9">
              <w:rPr>
                <w:rFonts w:ascii="Palatino Linotype" w:hAnsi="Palatino Linotype"/>
                <w:lang w:val="en-US"/>
              </w:rPr>
              <w:t>“</w:t>
            </w:r>
            <w:r w:rsidRPr="006566B9">
              <w:rPr>
                <w:rFonts w:ascii="Palatino Linotype" w:hAnsi="Palatino Linotype"/>
                <w:i/>
                <w:lang w:val="en-US"/>
              </w:rPr>
              <w:t>nu este cazul/nu se aplică</w:t>
            </w:r>
            <w:r w:rsidRPr="006566B9">
              <w:rPr>
                <w:rFonts w:ascii="Palatino Linotype" w:hAnsi="Palatino Linotype"/>
                <w:lang w:val="en-US"/>
              </w:rPr>
              <w:t>“.</w:t>
            </w:r>
          </w:p>
        </w:tc>
      </w:tr>
      <w:tr w:rsidR="003944F8" w:rsidRPr="00944923" w:rsidTr="00944923">
        <w:trPr>
          <w:trHeight w:val="111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17528D" w:rsidRDefault="003944F8"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15.Număr de activităţi de pregătire profesională a personalului din administraţia publică</w:t>
            </w:r>
          </w:p>
        </w:tc>
        <w:tc>
          <w:tcPr>
            <w:tcW w:w="2812" w:type="dxa"/>
          </w:tcPr>
          <w:p w:rsidR="003944F8" w:rsidRDefault="003944F8" w:rsidP="006D39A1">
            <w:pPr>
              <w:jc w:val="center"/>
            </w:pPr>
            <w:r w:rsidRPr="006566B9">
              <w:rPr>
                <w:rFonts w:ascii="Palatino Linotype" w:hAnsi="Palatino Linotype"/>
                <w:lang w:val="en-US"/>
              </w:rPr>
              <w:t>“</w:t>
            </w:r>
            <w:r w:rsidRPr="006566B9">
              <w:rPr>
                <w:rFonts w:ascii="Palatino Linotype" w:hAnsi="Palatino Linotype"/>
                <w:i/>
                <w:lang w:val="en-US"/>
              </w:rPr>
              <w:t>nu este cazul/nu se aplică</w:t>
            </w:r>
            <w:r w:rsidRPr="006566B9">
              <w:rPr>
                <w:rFonts w:ascii="Palatino Linotype" w:hAnsi="Palatino Linotype"/>
                <w:lang w:val="en-US"/>
              </w:rPr>
              <w:t>“.</w:t>
            </w:r>
          </w:p>
        </w:tc>
      </w:tr>
      <w:tr w:rsidR="003944F8" w:rsidRPr="00944923" w:rsidTr="00944923">
        <w:trPr>
          <w:trHeight w:val="108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17528D" w:rsidRDefault="003944F8"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16.Număr de persoane care au fost instruite prin intermediul acţiunilor de formare profesională</w:t>
            </w:r>
          </w:p>
        </w:tc>
        <w:tc>
          <w:tcPr>
            <w:tcW w:w="2812" w:type="dxa"/>
          </w:tcPr>
          <w:p w:rsidR="003944F8" w:rsidRDefault="003944F8" w:rsidP="006D39A1">
            <w:pPr>
              <w:jc w:val="center"/>
            </w:pPr>
            <w:r w:rsidRPr="006566B9">
              <w:rPr>
                <w:rFonts w:ascii="Palatino Linotype" w:hAnsi="Palatino Linotype"/>
                <w:lang w:val="en-US"/>
              </w:rPr>
              <w:t>“</w:t>
            </w:r>
            <w:r w:rsidRPr="006566B9">
              <w:rPr>
                <w:rFonts w:ascii="Palatino Linotype" w:hAnsi="Palatino Linotype"/>
                <w:i/>
                <w:lang w:val="en-US"/>
              </w:rPr>
              <w:t>nu este cazul/nu se aplică</w:t>
            </w:r>
            <w:r w:rsidRPr="006566B9">
              <w:rPr>
                <w:rFonts w:ascii="Palatino Linotype" w:hAnsi="Palatino Linotype"/>
                <w:lang w:val="en-US"/>
              </w:rPr>
              <w:t>“.</w:t>
            </w:r>
          </w:p>
        </w:tc>
      </w:tr>
      <w:tr w:rsidR="003944F8" w:rsidRPr="00944923" w:rsidTr="00944923">
        <w:trPr>
          <w:trHeight w:val="108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17528D" w:rsidRDefault="003944F8"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17.Număr de rapoarte anuale privind transparenţa decizională disponibile pe site-ul instituţiei</w:t>
            </w:r>
          </w:p>
        </w:tc>
        <w:tc>
          <w:tcPr>
            <w:tcW w:w="2812" w:type="dxa"/>
          </w:tcPr>
          <w:p w:rsidR="003944F8" w:rsidRDefault="003944F8" w:rsidP="006D39A1">
            <w:pPr>
              <w:jc w:val="center"/>
            </w:pPr>
            <w:r w:rsidRPr="006566B9">
              <w:rPr>
                <w:rFonts w:ascii="Palatino Linotype" w:hAnsi="Palatino Linotype"/>
                <w:lang w:val="en-US"/>
              </w:rPr>
              <w:t>“</w:t>
            </w:r>
            <w:r w:rsidRPr="006566B9">
              <w:rPr>
                <w:rFonts w:ascii="Palatino Linotype" w:hAnsi="Palatino Linotype"/>
                <w:i/>
                <w:lang w:val="en-US"/>
              </w:rPr>
              <w:t>nu este cazul/nu se aplică</w:t>
            </w:r>
            <w:r w:rsidRPr="006566B9">
              <w:rPr>
                <w:rFonts w:ascii="Palatino Linotype" w:hAnsi="Palatino Linotype"/>
                <w:lang w:val="en-US"/>
              </w:rPr>
              <w:t>“.</w:t>
            </w:r>
          </w:p>
        </w:tc>
      </w:tr>
      <w:tr w:rsidR="003944F8" w:rsidRPr="00944923" w:rsidTr="00944923">
        <w:trPr>
          <w:trHeight w:val="67"/>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17528D" w:rsidRDefault="003944F8"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18.Număr de părţi interesate înscrise în Registrul unic al transparenţei intereselor la nivelul Guvernului României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lang w:val="en-US"/>
              </w:rPr>
              <w:t>“</w:t>
            </w:r>
            <w:r w:rsidRPr="005E587B">
              <w:rPr>
                <w:rFonts w:ascii="Palatino Linotype" w:hAnsi="Palatino Linotype"/>
                <w:i/>
                <w:lang w:val="en-US"/>
              </w:rPr>
              <w:t>nu este cazul/nu se aplică</w:t>
            </w:r>
            <w:r>
              <w:rPr>
                <w:rFonts w:ascii="Palatino Linotype" w:hAnsi="Palatino Linotype"/>
                <w:lang w:val="en-US"/>
              </w:rPr>
              <w:t>“.</w:t>
            </w:r>
          </w:p>
        </w:tc>
      </w:tr>
      <w:tr w:rsidR="003944F8" w:rsidRPr="00944923" w:rsidTr="00944923">
        <w:trPr>
          <w:trHeight w:val="110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19.Numărul de domenii în care s-au înscris părţi interesate în Registrului unic al transparenţei intereselor</w:t>
            </w:r>
          </w:p>
        </w:tc>
        <w:tc>
          <w:tcPr>
            <w:tcW w:w="2812" w:type="dxa"/>
          </w:tcPr>
          <w:p w:rsidR="003944F8" w:rsidRDefault="003944F8" w:rsidP="006D39A1">
            <w:pPr>
              <w:jc w:val="center"/>
            </w:pPr>
            <w:r w:rsidRPr="00664DFE">
              <w:rPr>
                <w:rFonts w:ascii="Palatino Linotype" w:hAnsi="Palatino Linotype"/>
                <w:lang w:val="en-US"/>
              </w:rPr>
              <w:t>“</w:t>
            </w:r>
            <w:r w:rsidRPr="00664DFE">
              <w:rPr>
                <w:rFonts w:ascii="Palatino Linotype" w:hAnsi="Palatino Linotype"/>
                <w:i/>
                <w:lang w:val="en-US"/>
              </w:rPr>
              <w:t>nu este cazul/nu se aplică</w:t>
            </w:r>
            <w:r w:rsidRPr="00664DFE">
              <w:rPr>
                <w:rFonts w:ascii="Palatino Linotype" w:hAnsi="Palatino Linotype"/>
                <w:lang w:val="en-US"/>
              </w:rPr>
              <w:t>“.</w:t>
            </w:r>
          </w:p>
        </w:tc>
      </w:tr>
      <w:tr w:rsidR="003944F8" w:rsidRPr="00944923" w:rsidTr="00944923">
        <w:trPr>
          <w:trHeight w:val="86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20.Număr de utilizatori ai platformei consultare.gov.ro</w:t>
            </w:r>
          </w:p>
        </w:tc>
        <w:tc>
          <w:tcPr>
            <w:tcW w:w="2812" w:type="dxa"/>
          </w:tcPr>
          <w:p w:rsidR="003944F8" w:rsidRDefault="003944F8" w:rsidP="006D39A1">
            <w:pPr>
              <w:jc w:val="center"/>
            </w:pPr>
            <w:r w:rsidRPr="00664DFE">
              <w:rPr>
                <w:rFonts w:ascii="Palatino Linotype" w:hAnsi="Palatino Linotype"/>
                <w:lang w:val="en-US"/>
              </w:rPr>
              <w:t>“</w:t>
            </w:r>
            <w:r w:rsidRPr="00664DFE">
              <w:rPr>
                <w:rFonts w:ascii="Palatino Linotype" w:hAnsi="Palatino Linotype"/>
                <w:i/>
                <w:lang w:val="en-US"/>
              </w:rPr>
              <w:t>nu este cazul/nu se aplică</w:t>
            </w:r>
            <w:r w:rsidRPr="00664DFE">
              <w:rPr>
                <w:rFonts w:ascii="Palatino Linotype" w:hAnsi="Palatino Linotype"/>
                <w:lang w:val="en-US"/>
              </w:rPr>
              <w:t>“.</w:t>
            </w:r>
          </w:p>
        </w:tc>
      </w:tr>
      <w:tr w:rsidR="003944F8" w:rsidRPr="00944923" w:rsidTr="00944923">
        <w:trPr>
          <w:trHeight w:val="1131"/>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21.Număr de întâlniri raportate în RUTI de către factorii de decizie vizaţi de registru, din administraţia publică</w:t>
            </w:r>
          </w:p>
        </w:tc>
        <w:tc>
          <w:tcPr>
            <w:tcW w:w="2812" w:type="dxa"/>
          </w:tcPr>
          <w:p w:rsidR="003944F8" w:rsidRDefault="003944F8" w:rsidP="006D39A1">
            <w:pPr>
              <w:jc w:val="center"/>
            </w:pPr>
            <w:r w:rsidRPr="00664DFE">
              <w:rPr>
                <w:rFonts w:ascii="Palatino Linotype" w:hAnsi="Palatino Linotype"/>
                <w:lang w:val="en-US"/>
              </w:rPr>
              <w:t>“</w:t>
            </w:r>
            <w:r w:rsidRPr="00664DFE">
              <w:rPr>
                <w:rFonts w:ascii="Palatino Linotype" w:hAnsi="Palatino Linotype"/>
                <w:i/>
                <w:lang w:val="en-US"/>
              </w:rPr>
              <w:t>nu este cazul/nu se aplică</w:t>
            </w:r>
            <w:r w:rsidRPr="00664DFE">
              <w:rPr>
                <w:rFonts w:ascii="Palatino Linotype" w:hAnsi="Palatino Linotype"/>
                <w:lang w:val="en-US"/>
              </w:rPr>
              <w:t>“.</w:t>
            </w:r>
          </w:p>
        </w:tc>
      </w:tr>
      <w:tr w:rsidR="003944F8" w:rsidRPr="00944923" w:rsidTr="00944923">
        <w:trPr>
          <w:trHeight w:val="1121"/>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8</w:t>
            </w:r>
          </w:p>
        </w:tc>
        <w:tc>
          <w:tcPr>
            <w:tcW w:w="2820" w:type="dxa"/>
            <w:vMerge w:val="restart"/>
          </w:tcPr>
          <w:p w:rsidR="003944F8" w:rsidRPr="00944923" w:rsidRDefault="003944F8"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Acces la informaţii de interes public</w:t>
            </w:r>
          </w:p>
        </w:tc>
        <w:tc>
          <w:tcPr>
            <w:tcW w:w="3417" w:type="dxa"/>
            <w:vMerge w:val="restart"/>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544/2001 privind liberul acces la informaţiile de interes public, cu modificările ulterioare</w:t>
            </w: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seturi de date publicate în format deschis pe platforma data.gov.ro</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lang w:val="en-US"/>
              </w:rPr>
              <w:t>“</w:t>
            </w:r>
            <w:r w:rsidRPr="005E587B">
              <w:rPr>
                <w:rFonts w:ascii="Palatino Linotype" w:hAnsi="Palatino Linotype"/>
                <w:i/>
                <w:lang w:val="en-US"/>
              </w:rPr>
              <w:t>nu este cazul/nu se aplică</w:t>
            </w:r>
            <w:r>
              <w:rPr>
                <w:rFonts w:ascii="Palatino Linotype" w:hAnsi="Palatino Linotype"/>
                <w:lang w:val="en-US"/>
              </w:rPr>
              <w:t>“.</w:t>
            </w:r>
          </w:p>
        </w:tc>
      </w:tr>
      <w:tr w:rsidR="003944F8" w:rsidRPr="00944923" w:rsidTr="00944923">
        <w:trPr>
          <w:trHeight w:val="84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solicitări de informaţii de interes public primite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3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răspunsuri comunicate în termenul legal</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3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răspunsuri formulate cu întârziere faţă de termenul legal</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4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solicitări de informaţii de interes public la care nu s-a răspuns</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41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reclamaţii administrative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3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reclamaţii administrative soluţionate favorabil</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425"/>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8.Număr de plângeri în instanţă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2117"/>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hotărâri judecătoreşti definitive şi irevocabile pronunţate în favoarea petentului, ca urmare a plângerilor având ca obiect comunicarea de informaţii de interes public</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27"/>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10.Numărul şi tipul de sancţiuni dispuse pentru încălcarea obligaţiilor legale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29"/>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activităţi de pregătire profesională a personalului din administraţia publică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17"/>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care au fost instruite prin intermediul acţiunilor de formare profesională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5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13.Numărul şi tipul de măsuri interne luate pentru îmbunătăţirea procesului de comunicare a informaţiilor de interes public</w:t>
            </w:r>
          </w:p>
          <w:p w:rsidR="003944F8" w:rsidRPr="00944923" w:rsidRDefault="003944F8" w:rsidP="00944923">
            <w:pPr>
              <w:spacing w:after="0" w:line="240" w:lineRule="auto"/>
              <w:jc w:val="both"/>
              <w:rPr>
                <w:rFonts w:ascii="Palatino Linotype" w:hAnsi="Palatino Linotype"/>
                <w:sz w:val="24"/>
                <w:szCs w:val="24"/>
              </w:rPr>
            </w:pPr>
          </w:p>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Număr de UAT-uri care au implementat Memorandumul privind creşterea transparenţei şi standardizarea afişării informaţiilor de interes public</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lang w:val="en-US"/>
              </w:rPr>
              <w:t>“</w:t>
            </w:r>
            <w:r w:rsidRPr="005E587B">
              <w:rPr>
                <w:rFonts w:ascii="Palatino Linotype" w:hAnsi="Palatino Linotype"/>
                <w:i/>
                <w:lang w:val="en-US"/>
              </w:rPr>
              <w:t>nu este cazul/nu se aplică</w:t>
            </w:r>
            <w:r>
              <w:rPr>
                <w:rFonts w:ascii="Palatino Linotype" w:hAnsi="Palatino Linotype"/>
                <w:lang w:val="en-US"/>
              </w:rPr>
              <w:t>“.</w:t>
            </w:r>
          </w:p>
        </w:tc>
      </w:tr>
      <w:tr w:rsidR="003944F8" w:rsidRPr="00944923" w:rsidTr="00944923">
        <w:trPr>
          <w:trHeight w:val="77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14.Număr de instituţii publice cuprinse în platforma transparenţă.gov.ro</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76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15.Existenţa raportului de implementare a Legii nr. 544/2001 pentru ultimul an</w:t>
            </w:r>
          </w:p>
        </w:tc>
        <w:tc>
          <w:tcPr>
            <w:tcW w:w="2812" w:type="dxa"/>
          </w:tcPr>
          <w:p w:rsidR="003944F8" w:rsidRPr="00AE719D"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41"/>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AE719D"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16.Număr de rapoarte anuale de activitate disponibile pe site-ul instituţiei</w:t>
            </w:r>
          </w:p>
        </w:tc>
        <w:tc>
          <w:tcPr>
            <w:tcW w:w="2812" w:type="dxa"/>
          </w:tcPr>
          <w:p w:rsidR="003944F8" w:rsidRPr="00AE719D" w:rsidRDefault="003944F8" w:rsidP="006D39A1">
            <w:pPr>
              <w:spacing w:after="0" w:line="240" w:lineRule="auto"/>
              <w:jc w:val="center"/>
              <w:rPr>
                <w:rFonts w:ascii="Palatino Linotype" w:hAnsi="Palatino Linotype"/>
                <w:sz w:val="24"/>
                <w:szCs w:val="24"/>
              </w:rPr>
            </w:pPr>
            <w:r w:rsidRPr="00AE719D">
              <w:rPr>
                <w:rFonts w:ascii="Palatino Linotype" w:hAnsi="Palatino Linotype"/>
                <w:sz w:val="24"/>
                <w:szCs w:val="24"/>
              </w:rPr>
              <w:t>5</w:t>
            </w:r>
          </w:p>
        </w:tc>
      </w:tr>
      <w:tr w:rsidR="003944F8" w:rsidRPr="00944923" w:rsidTr="00944923">
        <w:trPr>
          <w:trHeight w:val="470"/>
        </w:trPr>
        <w:tc>
          <w:tcPr>
            <w:tcW w:w="990" w:type="dxa"/>
            <w:vMerge w:val="restart"/>
          </w:tcPr>
          <w:p w:rsidR="003944F8" w:rsidRPr="00944923" w:rsidRDefault="003944F8" w:rsidP="00944923">
            <w:pPr>
              <w:spacing w:after="0" w:line="240" w:lineRule="auto"/>
              <w:jc w:val="center"/>
              <w:rPr>
                <w:rFonts w:ascii="Palatino Linotype" w:hAnsi="Palatino Linotype"/>
                <w:sz w:val="24"/>
                <w:szCs w:val="24"/>
              </w:rPr>
            </w:pPr>
            <w:r w:rsidRPr="00944923">
              <w:rPr>
                <w:rFonts w:ascii="Palatino Linotype" w:hAnsi="Palatino Linotype"/>
                <w:sz w:val="24"/>
                <w:szCs w:val="24"/>
              </w:rPr>
              <w:t>9</w:t>
            </w:r>
          </w:p>
        </w:tc>
        <w:tc>
          <w:tcPr>
            <w:tcW w:w="2820" w:type="dxa"/>
            <w:vMerge w:val="restart"/>
          </w:tcPr>
          <w:p w:rsidR="003944F8" w:rsidRPr="00944923" w:rsidRDefault="003944F8"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Protecţia avertizorului de integritate</w:t>
            </w:r>
          </w:p>
        </w:tc>
        <w:tc>
          <w:tcPr>
            <w:tcW w:w="3417" w:type="dxa"/>
            <w:vMerge w:val="restart"/>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571/2004 privind protecţia personalului din autorităţile publice, instituţiile publice şi din alte unităţi care semnalează încălcări ale legii.</w:t>
            </w:r>
          </w:p>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sesizări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051"/>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2.Numărul şi tipul normelor încălcate (structurate sub forma unui compendiu)</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854"/>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regulamente interne armonizate cu prevederile legislative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3944F8" w:rsidRPr="00944923" w:rsidTr="00944923">
        <w:trPr>
          <w:trHeight w:val="1547"/>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4.Număr de instituţii în care există persoane special desemnate pentru a primi sesizările avertizorilor de integritate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29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instituţii în care există implementat un mecanism cu privire la protecţia avertizorilor de integritate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3944F8" w:rsidRPr="00944923" w:rsidTr="00944923">
        <w:trPr>
          <w:trHeight w:val="165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administrative adoptate pentru înlăturarea cauzelor sau circumstanţelor care au favorizat încălcarea normelor, diferenţiat pe tipologii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60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situaţii de represalii la locul de muncă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599"/>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plângeri depuse în instanţă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93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situaţii în care au fost acordate compensaţii avertizorilor de integritate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2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activităţi de pregătire profesională a personalului din administraţia publică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2</w:t>
            </w:r>
          </w:p>
        </w:tc>
      </w:tr>
      <w:tr w:rsidR="003944F8" w:rsidRPr="00944923" w:rsidTr="00944923">
        <w:trPr>
          <w:trHeight w:val="950"/>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persoane care au fost instruite prin intermediul acţiunilor de formare profesională</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940"/>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10</w:t>
            </w:r>
          </w:p>
        </w:tc>
        <w:tc>
          <w:tcPr>
            <w:tcW w:w="2820" w:type="dxa"/>
            <w:vMerge w:val="restart"/>
          </w:tcPr>
          <w:p w:rsidR="003944F8" w:rsidRPr="00944923" w:rsidRDefault="003944F8"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Interdicţii după încheierea angajării în cadrul instituţiilor publice (pantouflage)</w:t>
            </w:r>
          </w:p>
        </w:tc>
        <w:tc>
          <w:tcPr>
            <w:tcW w:w="3417" w:type="dxa"/>
            <w:vMerge w:val="restart"/>
          </w:tcPr>
          <w:p w:rsidR="003944F8"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 [art. 94 alin. (3)];</w:t>
            </w:r>
          </w:p>
          <w:p w:rsidR="003944F8" w:rsidRPr="00944923" w:rsidRDefault="003944F8" w:rsidP="00944923">
            <w:pPr>
              <w:spacing w:after="0" w:line="240" w:lineRule="auto"/>
              <w:jc w:val="both"/>
              <w:rPr>
                <w:rFonts w:ascii="Palatino Linotype" w:hAnsi="Palatino Linotype"/>
                <w:sz w:val="24"/>
                <w:szCs w:val="24"/>
              </w:rPr>
            </w:pPr>
          </w:p>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Ordonanţa de urgenţă a Guvernului nr. 66/2011 privind prevenirea, constatarea şi sancţionarea neregulilor apărute în obţinerea şi utilizarea fondurilor europene şi/sau a fondurilor publice naţionale aferente acestora [art. 13 alin. (1)].</w:t>
            </w: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regulamente interne care prevăd procedura monitorizării situaţiilor de pantouflage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3944F8" w:rsidRPr="00944923" w:rsidTr="00944923">
        <w:trPr>
          <w:trHeight w:val="2011"/>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instituţii în care există implementat un mecanism cu privire la monitorizarea situaţiilor de pantouflage, inclusiv prin desemnarea unor persoane cu atribuţii speciale în acest sens</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3944F8" w:rsidRPr="00944923" w:rsidTr="00944923">
        <w:trPr>
          <w:trHeight w:val="168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persoane care au desfăşurat activităţi de monitorizare şi control cu privire la societăţi comerciale şi care au ieşit din corpul funcţionarilor publici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3086"/>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133"/>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măsuri adoptate pentru remedierea situaţiilor de pantouflage, diferenţiat pe tipuri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69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încălcări ale prevederilor art. 13 alin. (1) constatate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1238"/>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solicitări către instanţa de judecată pentru anularea contractului de finanţare în caz de încălcare a art. 13 alin. (1)</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lang w:val="en-US"/>
              </w:rPr>
              <w:t>“</w:t>
            </w:r>
            <w:r w:rsidRPr="005E587B">
              <w:rPr>
                <w:rFonts w:ascii="Palatino Linotype" w:hAnsi="Palatino Linotype"/>
                <w:i/>
                <w:lang w:val="en-US"/>
              </w:rPr>
              <w:t>nu este cazul/nu se aplică</w:t>
            </w:r>
            <w:r>
              <w:rPr>
                <w:rFonts w:ascii="Palatino Linotype" w:hAnsi="Palatino Linotype"/>
                <w:lang w:val="en-US"/>
              </w:rPr>
              <w:t>“.</w:t>
            </w:r>
          </w:p>
        </w:tc>
      </w:tr>
      <w:tr w:rsidR="003944F8" w:rsidRPr="00944923" w:rsidTr="00944923">
        <w:trPr>
          <w:trHeight w:val="572"/>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sancţiuni aplicate de către instanţe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lang w:val="en-US"/>
              </w:rPr>
              <w:t>“</w:t>
            </w:r>
            <w:r w:rsidRPr="005E587B">
              <w:rPr>
                <w:rFonts w:ascii="Palatino Linotype" w:hAnsi="Palatino Linotype"/>
                <w:i/>
                <w:lang w:val="en-US"/>
              </w:rPr>
              <w:t>nu este cazul/nu se aplică</w:t>
            </w:r>
            <w:r>
              <w:rPr>
                <w:rFonts w:ascii="Palatino Linotype" w:hAnsi="Palatino Linotype"/>
                <w:lang w:val="en-US"/>
              </w:rPr>
              <w:t>“.</w:t>
            </w:r>
          </w:p>
        </w:tc>
      </w:tr>
      <w:tr w:rsidR="003944F8" w:rsidRPr="00944923" w:rsidTr="00944923">
        <w:trPr>
          <w:trHeight w:val="2361"/>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societăţi comerciale în care îşi desfăşoară activitatea persoane care au derulat anterior activităţi de monitorizare şi control şi care intră sub incidenţa art. 13 alin. (1), diferenţiat pe domenii majore de activitate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lang w:val="en-US"/>
              </w:rPr>
              <w:t>“</w:t>
            </w:r>
            <w:r w:rsidRPr="005E587B">
              <w:rPr>
                <w:rFonts w:ascii="Palatino Linotype" w:hAnsi="Palatino Linotype"/>
                <w:i/>
                <w:lang w:val="en-US"/>
              </w:rPr>
              <w:t>nu este cazul/nu se aplică</w:t>
            </w:r>
            <w:r>
              <w:rPr>
                <w:rFonts w:ascii="Palatino Linotype" w:hAnsi="Palatino Linotype"/>
                <w:lang w:val="en-US"/>
              </w:rPr>
              <w:t>“.</w:t>
            </w:r>
          </w:p>
        </w:tc>
      </w:tr>
      <w:tr w:rsidR="003944F8" w:rsidRPr="00944923" w:rsidTr="00944923">
        <w:trPr>
          <w:trHeight w:val="1075"/>
        </w:trPr>
        <w:tc>
          <w:tcPr>
            <w:tcW w:w="990" w:type="dxa"/>
            <w:vMerge w:val="restart"/>
          </w:tcPr>
          <w:p w:rsidR="003944F8" w:rsidRPr="00944923" w:rsidRDefault="003944F8"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11</w:t>
            </w:r>
          </w:p>
        </w:tc>
        <w:tc>
          <w:tcPr>
            <w:tcW w:w="2820" w:type="dxa"/>
            <w:vMerge w:val="restart"/>
          </w:tcPr>
          <w:p w:rsidR="003944F8" w:rsidRPr="00944923" w:rsidRDefault="003944F8"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Funcţiile sensibile</w:t>
            </w:r>
          </w:p>
        </w:tc>
        <w:tc>
          <w:tcPr>
            <w:tcW w:w="3417" w:type="dxa"/>
            <w:vMerge w:val="restart"/>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Ordinul Secretariatului General al Guvernului nr. 600/2018 privind aprobarea Codului controlului intern managerial al entităţilor publice; </w:t>
            </w:r>
          </w:p>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funcţii sensibile şi funcţiile considerate ca fiind expuse la corupţie identificate şi inventariate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523"/>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persoane cărora li s-a aplicat principiul rotaţiei personalului</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3944F8" w:rsidRPr="00944923" w:rsidTr="00944923">
        <w:trPr>
          <w:trHeight w:val="509"/>
        </w:trPr>
        <w:tc>
          <w:tcPr>
            <w:tcW w:w="990" w:type="dxa"/>
            <w:vMerge/>
          </w:tcPr>
          <w:p w:rsidR="003944F8" w:rsidRPr="00944923" w:rsidRDefault="003944F8" w:rsidP="00944923">
            <w:pPr>
              <w:spacing w:after="0" w:line="240" w:lineRule="auto"/>
              <w:jc w:val="both"/>
              <w:rPr>
                <w:rFonts w:ascii="Palatino Linotype" w:hAnsi="Palatino Linotype"/>
                <w:sz w:val="24"/>
                <w:szCs w:val="24"/>
              </w:rPr>
            </w:pPr>
          </w:p>
        </w:tc>
        <w:tc>
          <w:tcPr>
            <w:tcW w:w="2820" w:type="dxa"/>
            <w:vMerge/>
          </w:tcPr>
          <w:p w:rsidR="003944F8" w:rsidRPr="00944923" w:rsidRDefault="003944F8" w:rsidP="00944923">
            <w:pPr>
              <w:spacing w:after="0" w:line="240" w:lineRule="auto"/>
              <w:jc w:val="both"/>
              <w:rPr>
                <w:rFonts w:ascii="Palatino Linotype" w:hAnsi="Palatino Linotype"/>
                <w:sz w:val="24"/>
                <w:szCs w:val="24"/>
              </w:rPr>
            </w:pPr>
          </w:p>
        </w:tc>
        <w:tc>
          <w:tcPr>
            <w:tcW w:w="3417" w:type="dxa"/>
            <w:vMerge/>
          </w:tcPr>
          <w:p w:rsidR="003944F8" w:rsidRPr="00944923" w:rsidRDefault="003944F8" w:rsidP="00944923">
            <w:pPr>
              <w:spacing w:after="0" w:line="240" w:lineRule="auto"/>
              <w:jc w:val="both"/>
              <w:rPr>
                <w:rFonts w:ascii="Palatino Linotype" w:hAnsi="Palatino Linotype"/>
                <w:sz w:val="24"/>
                <w:szCs w:val="24"/>
              </w:rPr>
            </w:pPr>
          </w:p>
        </w:tc>
        <w:tc>
          <w:tcPr>
            <w:tcW w:w="4221" w:type="dxa"/>
          </w:tcPr>
          <w:p w:rsidR="003944F8" w:rsidRPr="00944923" w:rsidRDefault="003944F8"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măsuri de control adecvate şi suficiente pentru administrarea şi gestionarea funcţiilor sensibile</w:t>
            </w:r>
          </w:p>
        </w:tc>
        <w:tc>
          <w:tcPr>
            <w:tcW w:w="2812" w:type="dxa"/>
          </w:tcPr>
          <w:p w:rsidR="003944F8" w:rsidRPr="00944923" w:rsidRDefault="003944F8"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bl>
    <w:p w:rsidR="003944F8" w:rsidRDefault="003944F8" w:rsidP="0021072B">
      <w:pPr>
        <w:spacing w:after="0" w:line="240" w:lineRule="auto"/>
        <w:jc w:val="both"/>
        <w:rPr>
          <w:rFonts w:ascii="Palatino Linotype" w:hAnsi="Palatino Linotype"/>
        </w:rPr>
      </w:pPr>
      <w:r w:rsidRPr="0021072B">
        <w:rPr>
          <w:rFonts w:ascii="Palatino Linotype" w:hAnsi="Palatino Linotype"/>
        </w:rPr>
        <w:t>*1) Indicatori minimali care măsoară, din punct de vedere cantitativ şi calitativ, gradul de implementare a standardelor legale de integritate.</w:t>
      </w:r>
    </w:p>
    <w:p w:rsidR="003944F8" w:rsidRDefault="003944F8" w:rsidP="0021072B">
      <w:pPr>
        <w:spacing w:after="0" w:line="240" w:lineRule="auto"/>
        <w:jc w:val="both"/>
        <w:rPr>
          <w:rFonts w:ascii="Palatino Linotype" w:hAnsi="Palatino Linotype"/>
          <w:lang w:val="en-US"/>
        </w:rPr>
      </w:pPr>
      <w:r>
        <w:rPr>
          <w:rFonts w:ascii="Palatino Linotype" w:hAnsi="Palatino Linotype"/>
        </w:rPr>
        <w:t>*2</w:t>
      </w:r>
      <w:r w:rsidRPr="0021072B">
        <w:rPr>
          <w:rFonts w:ascii="Palatino Linotype" w:hAnsi="Palatino Linotype"/>
        </w:rPr>
        <w:t>)</w:t>
      </w:r>
      <w:r>
        <w:rPr>
          <w:rFonts w:ascii="Palatino Linotype" w:hAnsi="Palatino Linotype"/>
        </w:rPr>
        <w:t xml:space="preserve"> Col. 4 se va completa periodic cu date aferente activităţii desfăşurate. Pentru indicatorii care nu-şi găsesc corespondent în activitatea desfăşurată CNAS</w:t>
      </w:r>
      <w:r>
        <w:rPr>
          <w:rFonts w:ascii="Palatino Linotype" w:hAnsi="Palatino Linotype"/>
          <w:lang w:val="en-US"/>
        </w:rPr>
        <w:t>/CAS se va specifica “</w:t>
      </w:r>
      <w:r w:rsidRPr="005E587B">
        <w:rPr>
          <w:rFonts w:ascii="Palatino Linotype" w:hAnsi="Palatino Linotype"/>
          <w:i/>
          <w:lang w:val="en-US"/>
        </w:rPr>
        <w:t>nu este cazul/nu se aplică</w:t>
      </w:r>
      <w:r>
        <w:rPr>
          <w:rFonts w:ascii="Palatino Linotype" w:hAnsi="Palatino Linotype"/>
          <w:lang w:val="en-US"/>
        </w:rPr>
        <w:t>“.</w:t>
      </w:r>
    </w:p>
    <w:p w:rsidR="003944F8" w:rsidRDefault="003944F8" w:rsidP="0021072B">
      <w:pPr>
        <w:spacing w:after="0" w:line="240" w:lineRule="auto"/>
        <w:jc w:val="both"/>
        <w:rPr>
          <w:rFonts w:ascii="Palatino Linotype" w:hAnsi="Palatino Linotype"/>
          <w:lang w:val="en-US"/>
        </w:rPr>
      </w:pPr>
      <w:bookmarkStart w:id="0" w:name="_GoBack"/>
      <w:bookmarkEnd w:id="0"/>
    </w:p>
    <w:sectPr w:rsidR="003944F8" w:rsidSect="00151D95">
      <w:headerReference w:type="default" r:id="rId6"/>
      <w:footerReference w:type="default" r:id="rId7"/>
      <w:pgSz w:w="16838" w:h="11906" w:orient="landscape" w:code="9"/>
      <w:pgMar w:top="425" w:right="1418"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F8" w:rsidRDefault="003944F8">
      <w:pPr>
        <w:spacing w:after="0" w:line="240" w:lineRule="auto"/>
      </w:pPr>
      <w:r>
        <w:separator/>
      </w:r>
    </w:p>
  </w:endnote>
  <w:endnote w:type="continuationSeparator" w:id="0">
    <w:p w:rsidR="003944F8" w:rsidRDefault="00394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F8" w:rsidRPr="00870A5C" w:rsidRDefault="003944F8" w:rsidP="00870A5C">
    <w:pPr>
      <w:pStyle w:val="Footer"/>
      <w:jc w:val="center"/>
      <w:rPr>
        <w:rFonts w:ascii="Palatino Linotype" w:hAnsi="Palatino Linotype"/>
        <w:sz w:val="20"/>
        <w:szCs w:val="20"/>
      </w:rPr>
    </w:pPr>
    <w:r w:rsidRPr="00870A5C">
      <w:rPr>
        <w:rFonts w:ascii="Palatino Linotype" w:hAnsi="Palatino Linotype"/>
        <w:sz w:val="20"/>
        <w:szCs w:val="20"/>
      </w:rPr>
      <w:t xml:space="preserve">Pagină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PAGE</w:instrText>
    </w:r>
    <w:r w:rsidRPr="00870A5C">
      <w:rPr>
        <w:rFonts w:ascii="Palatino Linotype" w:hAnsi="Palatino Linotype"/>
        <w:b/>
        <w:bCs/>
        <w:sz w:val="20"/>
        <w:szCs w:val="20"/>
      </w:rPr>
      <w:fldChar w:fldCharType="separate"/>
    </w:r>
    <w:r>
      <w:rPr>
        <w:rFonts w:ascii="Palatino Linotype" w:hAnsi="Palatino Linotype"/>
        <w:b/>
        <w:bCs/>
        <w:noProof/>
        <w:sz w:val="20"/>
        <w:szCs w:val="20"/>
      </w:rPr>
      <w:t>16</w:t>
    </w:r>
    <w:r w:rsidRPr="00870A5C">
      <w:rPr>
        <w:rFonts w:ascii="Palatino Linotype" w:hAnsi="Palatino Linotype"/>
        <w:b/>
        <w:bCs/>
        <w:sz w:val="20"/>
        <w:szCs w:val="20"/>
      </w:rPr>
      <w:fldChar w:fldCharType="end"/>
    </w:r>
    <w:r w:rsidRPr="00870A5C">
      <w:rPr>
        <w:rFonts w:ascii="Palatino Linotype" w:hAnsi="Palatino Linotype"/>
        <w:sz w:val="20"/>
        <w:szCs w:val="20"/>
      </w:rPr>
      <w:t xml:space="preserve"> din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NUMPAGES</w:instrText>
    </w:r>
    <w:r w:rsidRPr="00870A5C">
      <w:rPr>
        <w:rFonts w:ascii="Palatino Linotype" w:hAnsi="Palatino Linotype"/>
        <w:b/>
        <w:bCs/>
        <w:sz w:val="20"/>
        <w:szCs w:val="20"/>
      </w:rPr>
      <w:fldChar w:fldCharType="separate"/>
    </w:r>
    <w:r>
      <w:rPr>
        <w:rFonts w:ascii="Palatino Linotype" w:hAnsi="Palatino Linotype"/>
        <w:b/>
        <w:bCs/>
        <w:noProof/>
        <w:sz w:val="20"/>
        <w:szCs w:val="20"/>
      </w:rPr>
      <w:t>16</w:t>
    </w:r>
    <w:r w:rsidRPr="00870A5C">
      <w:rPr>
        <w:rFonts w:ascii="Palatino Linotype" w:hAnsi="Palatino Linotype"/>
        <w:b/>
        <w:bCs/>
        <w:sz w:val="20"/>
        <w:szCs w:val="20"/>
      </w:rPr>
      <w:fldChar w:fldCharType="end"/>
    </w:r>
  </w:p>
  <w:p w:rsidR="003944F8" w:rsidRDefault="00394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F8" w:rsidRDefault="003944F8">
      <w:pPr>
        <w:spacing w:after="0" w:line="240" w:lineRule="auto"/>
      </w:pPr>
      <w:r>
        <w:separator/>
      </w:r>
    </w:p>
  </w:footnote>
  <w:footnote w:type="continuationSeparator" w:id="0">
    <w:p w:rsidR="003944F8" w:rsidRDefault="00394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F8" w:rsidRPr="0021072B" w:rsidRDefault="003944F8" w:rsidP="001B6198">
    <w:pPr>
      <w:ind w:left="-709"/>
      <w:jc w:val="center"/>
      <w:rPr>
        <w:rFonts w:ascii="Palatino Linotype" w:hAnsi="Palatino Linotype"/>
        <w:b/>
        <w:sz w:val="24"/>
      </w:rPr>
    </w:pPr>
    <w:r w:rsidRPr="0021072B">
      <w:rPr>
        <w:rFonts w:ascii="Palatino Linotype" w:hAnsi="Palatino Linotype"/>
        <w:b/>
        <w:sz w:val="24"/>
      </w:rPr>
      <w:t>ANEXA 3 – Inventarul măsurilor de transparenţă instituţională şi de prevenire a corupţiei, precum şi indicatorii de evaluare</w:t>
    </w:r>
  </w:p>
  <w:p w:rsidR="003944F8" w:rsidRPr="001B6198" w:rsidRDefault="003944F8" w:rsidP="001B61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E1C"/>
    <w:rsid w:val="00051F21"/>
    <w:rsid w:val="00084314"/>
    <w:rsid w:val="0012654C"/>
    <w:rsid w:val="00151D95"/>
    <w:rsid w:val="0017528D"/>
    <w:rsid w:val="00197EA0"/>
    <w:rsid w:val="001A2F74"/>
    <w:rsid w:val="001B6198"/>
    <w:rsid w:val="001C70D2"/>
    <w:rsid w:val="001F66E0"/>
    <w:rsid w:val="0021072B"/>
    <w:rsid w:val="0023041F"/>
    <w:rsid w:val="002918EB"/>
    <w:rsid w:val="002B0ACE"/>
    <w:rsid w:val="0033040D"/>
    <w:rsid w:val="0038278E"/>
    <w:rsid w:val="003944F8"/>
    <w:rsid w:val="003D58D1"/>
    <w:rsid w:val="003F451A"/>
    <w:rsid w:val="00472B98"/>
    <w:rsid w:val="004A3E29"/>
    <w:rsid w:val="004C2B92"/>
    <w:rsid w:val="004D4AE4"/>
    <w:rsid w:val="00507E9D"/>
    <w:rsid w:val="005161A9"/>
    <w:rsid w:val="00527F20"/>
    <w:rsid w:val="0059629D"/>
    <w:rsid w:val="005D57BD"/>
    <w:rsid w:val="005E587B"/>
    <w:rsid w:val="006566B9"/>
    <w:rsid w:val="00664DFE"/>
    <w:rsid w:val="00665B55"/>
    <w:rsid w:val="00681F96"/>
    <w:rsid w:val="006C60F9"/>
    <w:rsid w:val="006D39A1"/>
    <w:rsid w:val="00701E6B"/>
    <w:rsid w:val="00712C63"/>
    <w:rsid w:val="007453B1"/>
    <w:rsid w:val="00765619"/>
    <w:rsid w:val="007879FA"/>
    <w:rsid w:val="007A243E"/>
    <w:rsid w:val="00840E1C"/>
    <w:rsid w:val="00870A5C"/>
    <w:rsid w:val="00912A0B"/>
    <w:rsid w:val="009220C6"/>
    <w:rsid w:val="00944923"/>
    <w:rsid w:val="009453DB"/>
    <w:rsid w:val="00947F2B"/>
    <w:rsid w:val="009A274A"/>
    <w:rsid w:val="00A00E9E"/>
    <w:rsid w:val="00A07FAC"/>
    <w:rsid w:val="00AE719D"/>
    <w:rsid w:val="00B1685D"/>
    <w:rsid w:val="00BA2A36"/>
    <w:rsid w:val="00BB534A"/>
    <w:rsid w:val="00BE6D12"/>
    <w:rsid w:val="00C55C30"/>
    <w:rsid w:val="00C6686F"/>
    <w:rsid w:val="00CA7D6A"/>
    <w:rsid w:val="00CF2FE9"/>
    <w:rsid w:val="00D0611F"/>
    <w:rsid w:val="00D07D58"/>
    <w:rsid w:val="00D24863"/>
    <w:rsid w:val="00D43082"/>
    <w:rsid w:val="00D93C6F"/>
    <w:rsid w:val="00DD66CB"/>
    <w:rsid w:val="00E16A48"/>
    <w:rsid w:val="00E537CD"/>
    <w:rsid w:val="00EB3CDB"/>
    <w:rsid w:val="00ED7733"/>
    <w:rsid w:val="00EE0318"/>
    <w:rsid w:val="00F00881"/>
    <w:rsid w:val="00F04E63"/>
    <w:rsid w:val="00F64E4A"/>
    <w:rsid w:val="00FC559A"/>
    <w:rsid w:val="00FD79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C"/>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0E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0E1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0E1C"/>
    <w:rPr>
      <w:rFonts w:cs="Times New Roman"/>
    </w:rPr>
  </w:style>
  <w:style w:type="paragraph" w:styleId="Footer">
    <w:name w:val="footer"/>
    <w:basedOn w:val="Normal"/>
    <w:link w:val="FooterChar"/>
    <w:uiPriority w:val="99"/>
    <w:rsid w:val="00840E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0E1C"/>
    <w:rPr>
      <w:rFonts w:cs="Times New Roman"/>
    </w:rPr>
  </w:style>
</w:styles>
</file>

<file path=word/webSettings.xml><?xml version="1.0" encoding="utf-8"?>
<w:webSettings xmlns:r="http://schemas.openxmlformats.org/officeDocument/2006/relationships" xmlns:w="http://schemas.openxmlformats.org/wordprocessingml/2006/main">
  <w:divs>
    <w:div w:id="1195537370">
      <w:marLeft w:val="0"/>
      <w:marRight w:val="0"/>
      <w:marTop w:val="0"/>
      <w:marBottom w:val="0"/>
      <w:divBdr>
        <w:top w:val="none" w:sz="0" w:space="0" w:color="auto"/>
        <w:left w:val="none" w:sz="0" w:space="0" w:color="auto"/>
        <w:bottom w:val="none" w:sz="0" w:space="0" w:color="auto"/>
        <w:right w:val="none" w:sz="0" w:space="0" w:color="auto"/>
      </w:divBdr>
    </w:div>
    <w:div w:id="1195537371">
      <w:marLeft w:val="0"/>
      <w:marRight w:val="0"/>
      <w:marTop w:val="0"/>
      <w:marBottom w:val="0"/>
      <w:divBdr>
        <w:top w:val="none" w:sz="0" w:space="0" w:color="auto"/>
        <w:left w:val="none" w:sz="0" w:space="0" w:color="auto"/>
        <w:bottom w:val="none" w:sz="0" w:space="0" w:color="auto"/>
        <w:right w:val="none" w:sz="0" w:space="0" w:color="auto"/>
      </w:divBdr>
    </w:div>
    <w:div w:id="1195537372">
      <w:marLeft w:val="0"/>
      <w:marRight w:val="0"/>
      <w:marTop w:val="0"/>
      <w:marBottom w:val="0"/>
      <w:divBdr>
        <w:top w:val="none" w:sz="0" w:space="0" w:color="auto"/>
        <w:left w:val="none" w:sz="0" w:space="0" w:color="auto"/>
        <w:bottom w:val="none" w:sz="0" w:space="0" w:color="auto"/>
        <w:right w:val="none" w:sz="0" w:space="0" w:color="auto"/>
      </w:divBdr>
    </w:div>
    <w:div w:id="1195537373">
      <w:marLeft w:val="0"/>
      <w:marRight w:val="0"/>
      <w:marTop w:val="0"/>
      <w:marBottom w:val="0"/>
      <w:divBdr>
        <w:top w:val="none" w:sz="0" w:space="0" w:color="auto"/>
        <w:left w:val="none" w:sz="0" w:space="0" w:color="auto"/>
        <w:bottom w:val="none" w:sz="0" w:space="0" w:color="auto"/>
        <w:right w:val="none" w:sz="0" w:space="0" w:color="auto"/>
      </w:divBdr>
    </w:div>
    <w:div w:id="1195537374">
      <w:marLeft w:val="0"/>
      <w:marRight w:val="0"/>
      <w:marTop w:val="0"/>
      <w:marBottom w:val="0"/>
      <w:divBdr>
        <w:top w:val="none" w:sz="0" w:space="0" w:color="auto"/>
        <w:left w:val="none" w:sz="0" w:space="0" w:color="auto"/>
        <w:bottom w:val="none" w:sz="0" w:space="0" w:color="auto"/>
        <w:right w:val="none" w:sz="0" w:space="0" w:color="auto"/>
      </w:divBdr>
    </w:div>
    <w:div w:id="1195537375">
      <w:marLeft w:val="0"/>
      <w:marRight w:val="0"/>
      <w:marTop w:val="0"/>
      <w:marBottom w:val="0"/>
      <w:divBdr>
        <w:top w:val="none" w:sz="0" w:space="0" w:color="auto"/>
        <w:left w:val="none" w:sz="0" w:space="0" w:color="auto"/>
        <w:bottom w:val="none" w:sz="0" w:space="0" w:color="auto"/>
        <w:right w:val="none" w:sz="0" w:space="0" w:color="auto"/>
      </w:divBdr>
    </w:div>
    <w:div w:id="1195537376">
      <w:marLeft w:val="0"/>
      <w:marRight w:val="0"/>
      <w:marTop w:val="0"/>
      <w:marBottom w:val="0"/>
      <w:divBdr>
        <w:top w:val="none" w:sz="0" w:space="0" w:color="auto"/>
        <w:left w:val="none" w:sz="0" w:space="0" w:color="auto"/>
        <w:bottom w:val="none" w:sz="0" w:space="0" w:color="auto"/>
        <w:right w:val="none" w:sz="0" w:space="0" w:color="auto"/>
      </w:divBdr>
    </w:div>
    <w:div w:id="1195537377">
      <w:marLeft w:val="0"/>
      <w:marRight w:val="0"/>
      <w:marTop w:val="0"/>
      <w:marBottom w:val="0"/>
      <w:divBdr>
        <w:top w:val="none" w:sz="0" w:space="0" w:color="auto"/>
        <w:left w:val="none" w:sz="0" w:space="0" w:color="auto"/>
        <w:bottom w:val="none" w:sz="0" w:space="0" w:color="auto"/>
        <w:right w:val="none" w:sz="0" w:space="0" w:color="auto"/>
      </w:divBdr>
    </w:div>
    <w:div w:id="1195537378">
      <w:marLeft w:val="0"/>
      <w:marRight w:val="0"/>
      <w:marTop w:val="0"/>
      <w:marBottom w:val="0"/>
      <w:divBdr>
        <w:top w:val="none" w:sz="0" w:space="0" w:color="auto"/>
        <w:left w:val="none" w:sz="0" w:space="0" w:color="auto"/>
        <w:bottom w:val="none" w:sz="0" w:space="0" w:color="auto"/>
        <w:right w:val="none" w:sz="0" w:space="0" w:color="auto"/>
      </w:divBdr>
    </w:div>
    <w:div w:id="1195537379">
      <w:marLeft w:val="0"/>
      <w:marRight w:val="0"/>
      <w:marTop w:val="0"/>
      <w:marBottom w:val="0"/>
      <w:divBdr>
        <w:top w:val="none" w:sz="0" w:space="0" w:color="auto"/>
        <w:left w:val="none" w:sz="0" w:space="0" w:color="auto"/>
        <w:bottom w:val="none" w:sz="0" w:space="0" w:color="auto"/>
        <w:right w:val="none" w:sz="0" w:space="0" w:color="auto"/>
      </w:divBdr>
    </w:div>
    <w:div w:id="1195537380">
      <w:marLeft w:val="0"/>
      <w:marRight w:val="0"/>
      <w:marTop w:val="0"/>
      <w:marBottom w:val="0"/>
      <w:divBdr>
        <w:top w:val="none" w:sz="0" w:space="0" w:color="auto"/>
        <w:left w:val="none" w:sz="0" w:space="0" w:color="auto"/>
        <w:bottom w:val="none" w:sz="0" w:space="0" w:color="auto"/>
        <w:right w:val="none" w:sz="0" w:space="0" w:color="auto"/>
      </w:divBdr>
    </w:div>
    <w:div w:id="1195537381">
      <w:marLeft w:val="0"/>
      <w:marRight w:val="0"/>
      <w:marTop w:val="0"/>
      <w:marBottom w:val="0"/>
      <w:divBdr>
        <w:top w:val="none" w:sz="0" w:space="0" w:color="auto"/>
        <w:left w:val="none" w:sz="0" w:space="0" w:color="auto"/>
        <w:bottom w:val="none" w:sz="0" w:space="0" w:color="auto"/>
        <w:right w:val="none" w:sz="0" w:space="0" w:color="auto"/>
      </w:divBdr>
    </w:div>
    <w:div w:id="1195537382">
      <w:marLeft w:val="0"/>
      <w:marRight w:val="0"/>
      <w:marTop w:val="0"/>
      <w:marBottom w:val="0"/>
      <w:divBdr>
        <w:top w:val="none" w:sz="0" w:space="0" w:color="auto"/>
        <w:left w:val="none" w:sz="0" w:space="0" w:color="auto"/>
        <w:bottom w:val="none" w:sz="0" w:space="0" w:color="auto"/>
        <w:right w:val="none" w:sz="0" w:space="0" w:color="auto"/>
      </w:divBdr>
    </w:div>
    <w:div w:id="1195537383">
      <w:marLeft w:val="0"/>
      <w:marRight w:val="0"/>
      <w:marTop w:val="0"/>
      <w:marBottom w:val="0"/>
      <w:divBdr>
        <w:top w:val="none" w:sz="0" w:space="0" w:color="auto"/>
        <w:left w:val="none" w:sz="0" w:space="0" w:color="auto"/>
        <w:bottom w:val="none" w:sz="0" w:space="0" w:color="auto"/>
        <w:right w:val="none" w:sz="0" w:space="0" w:color="auto"/>
      </w:divBdr>
    </w:div>
    <w:div w:id="1195537384">
      <w:marLeft w:val="0"/>
      <w:marRight w:val="0"/>
      <w:marTop w:val="0"/>
      <w:marBottom w:val="0"/>
      <w:divBdr>
        <w:top w:val="none" w:sz="0" w:space="0" w:color="auto"/>
        <w:left w:val="none" w:sz="0" w:space="0" w:color="auto"/>
        <w:bottom w:val="none" w:sz="0" w:space="0" w:color="auto"/>
        <w:right w:val="none" w:sz="0" w:space="0" w:color="auto"/>
      </w:divBdr>
    </w:div>
    <w:div w:id="1195537385">
      <w:marLeft w:val="0"/>
      <w:marRight w:val="0"/>
      <w:marTop w:val="0"/>
      <w:marBottom w:val="0"/>
      <w:divBdr>
        <w:top w:val="none" w:sz="0" w:space="0" w:color="auto"/>
        <w:left w:val="none" w:sz="0" w:space="0" w:color="auto"/>
        <w:bottom w:val="none" w:sz="0" w:space="0" w:color="auto"/>
        <w:right w:val="none" w:sz="0" w:space="0" w:color="auto"/>
      </w:divBdr>
    </w:div>
    <w:div w:id="1195537386">
      <w:marLeft w:val="0"/>
      <w:marRight w:val="0"/>
      <w:marTop w:val="0"/>
      <w:marBottom w:val="0"/>
      <w:divBdr>
        <w:top w:val="none" w:sz="0" w:space="0" w:color="auto"/>
        <w:left w:val="none" w:sz="0" w:space="0" w:color="auto"/>
        <w:bottom w:val="none" w:sz="0" w:space="0" w:color="auto"/>
        <w:right w:val="none" w:sz="0" w:space="0" w:color="auto"/>
      </w:divBdr>
    </w:div>
    <w:div w:id="1195537387">
      <w:marLeft w:val="0"/>
      <w:marRight w:val="0"/>
      <w:marTop w:val="0"/>
      <w:marBottom w:val="0"/>
      <w:divBdr>
        <w:top w:val="none" w:sz="0" w:space="0" w:color="auto"/>
        <w:left w:val="none" w:sz="0" w:space="0" w:color="auto"/>
        <w:bottom w:val="none" w:sz="0" w:space="0" w:color="auto"/>
        <w:right w:val="none" w:sz="0" w:space="0" w:color="auto"/>
      </w:divBdr>
    </w:div>
    <w:div w:id="1195537388">
      <w:marLeft w:val="0"/>
      <w:marRight w:val="0"/>
      <w:marTop w:val="0"/>
      <w:marBottom w:val="0"/>
      <w:divBdr>
        <w:top w:val="none" w:sz="0" w:space="0" w:color="auto"/>
        <w:left w:val="none" w:sz="0" w:space="0" w:color="auto"/>
        <w:bottom w:val="none" w:sz="0" w:space="0" w:color="auto"/>
        <w:right w:val="none" w:sz="0" w:space="0" w:color="auto"/>
      </w:divBdr>
    </w:div>
    <w:div w:id="1195537389">
      <w:marLeft w:val="0"/>
      <w:marRight w:val="0"/>
      <w:marTop w:val="0"/>
      <w:marBottom w:val="0"/>
      <w:divBdr>
        <w:top w:val="none" w:sz="0" w:space="0" w:color="auto"/>
        <w:left w:val="none" w:sz="0" w:space="0" w:color="auto"/>
        <w:bottom w:val="none" w:sz="0" w:space="0" w:color="auto"/>
        <w:right w:val="none" w:sz="0" w:space="0" w:color="auto"/>
      </w:divBdr>
    </w:div>
    <w:div w:id="1195537390">
      <w:marLeft w:val="0"/>
      <w:marRight w:val="0"/>
      <w:marTop w:val="0"/>
      <w:marBottom w:val="0"/>
      <w:divBdr>
        <w:top w:val="none" w:sz="0" w:space="0" w:color="auto"/>
        <w:left w:val="none" w:sz="0" w:space="0" w:color="auto"/>
        <w:bottom w:val="none" w:sz="0" w:space="0" w:color="auto"/>
        <w:right w:val="none" w:sz="0" w:space="0" w:color="auto"/>
      </w:divBdr>
    </w:div>
    <w:div w:id="1195537391">
      <w:marLeft w:val="0"/>
      <w:marRight w:val="0"/>
      <w:marTop w:val="0"/>
      <w:marBottom w:val="0"/>
      <w:divBdr>
        <w:top w:val="none" w:sz="0" w:space="0" w:color="auto"/>
        <w:left w:val="none" w:sz="0" w:space="0" w:color="auto"/>
        <w:bottom w:val="none" w:sz="0" w:space="0" w:color="auto"/>
        <w:right w:val="none" w:sz="0" w:space="0" w:color="auto"/>
      </w:divBdr>
    </w:div>
    <w:div w:id="1195537392">
      <w:marLeft w:val="0"/>
      <w:marRight w:val="0"/>
      <w:marTop w:val="0"/>
      <w:marBottom w:val="0"/>
      <w:divBdr>
        <w:top w:val="none" w:sz="0" w:space="0" w:color="auto"/>
        <w:left w:val="none" w:sz="0" w:space="0" w:color="auto"/>
        <w:bottom w:val="none" w:sz="0" w:space="0" w:color="auto"/>
        <w:right w:val="none" w:sz="0" w:space="0" w:color="auto"/>
      </w:divBdr>
    </w:div>
    <w:div w:id="1195537393">
      <w:marLeft w:val="0"/>
      <w:marRight w:val="0"/>
      <w:marTop w:val="0"/>
      <w:marBottom w:val="0"/>
      <w:divBdr>
        <w:top w:val="none" w:sz="0" w:space="0" w:color="auto"/>
        <w:left w:val="none" w:sz="0" w:space="0" w:color="auto"/>
        <w:bottom w:val="none" w:sz="0" w:space="0" w:color="auto"/>
        <w:right w:val="none" w:sz="0" w:space="0" w:color="auto"/>
      </w:divBdr>
    </w:div>
    <w:div w:id="1195537394">
      <w:marLeft w:val="0"/>
      <w:marRight w:val="0"/>
      <w:marTop w:val="0"/>
      <w:marBottom w:val="0"/>
      <w:divBdr>
        <w:top w:val="none" w:sz="0" w:space="0" w:color="auto"/>
        <w:left w:val="none" w:sz="0" w:space="0" w:color="auto"/>
        <w:bottom w:val="none" w:sz="0" w:space="0" w:color="auto"/>
        <w:right w:val="none" w:sz="0" w:space="0" w:color="auto"/>
      </w:divBdr>
    </w:div>
    <w:div w:id="1195537395">
      <w:marLeft w:val="0"/>
      <w:marRight w:val="0"/>
      <w:marTop w:val="0"/>
      <w:marBottom w:val="0"/>
      <w:divBdr>
        <w:top w:val="none" w:sz="0" w:space="0" w:color="auto"/>
        <w:left w:val="none" w:sz="0" w:space="0" w:color="auto"/>
        <w:bottom w:val="none" w:sz="0" w:space="0" w:color="auto"/>
        <w:right w:val="none" w:sz="0" w:space="0" w:color="auto"/>
      </w:divBdr>
    </w:div>
    <w:div w:id="1195537396">
      <w:marLeft w:val="0"/>
      <w:marRight w:val="0"/>
      <w:marTop w:val="0"/>
      <w:marBottom w:val="0"/>
      <w:divBdr>
        <w:top w:val="none" w:sz="0" w:space="0" w:color="auto"/>
        <w:left w:val="none" w:sz="0" w:space="0" w:color="auto"/>
        <w:bottom w:val="none" w:sz="0" w:space="0" w:color="auto"/>
        <w:right w:val="none" w:sz="0" w:space="0" w:color="auto"/>
      </w:divBdr>
    </w:div>
    <w:div w:id="1195537397">
      <w:marLeft w:val="0"/>
      <w:marRight w:val="0"/>
      <w:marTop w:val="0"/>
      <w:marBottom w:val="0"/>
      <w:divBdr>
        <w:top w:val="none" w:sz="0" w:space="0" w:color="auto"/>
        <w:left w:val="none" w:sz="0" w:space="0" w:color="auto"/>
        <w:bottom w:val="none" w:sz="0" w:space="0" w:color="auto"/>
        <w:right w:val="none" w:sz="0" w:space="0" w:color="auto"/>
      </w:divBdr>
    </w:div>
    <w:div w:id="1195537398">
      <w:marLeft w:val="0"/>
      <w:marRight w:val="0"/>
      <w:marTop w:val="0"/>
      <w:marBottom w:val="0"/>
      <w:divBdr>
        <w:top w:val="none" w:sz="0" w:space="0" w:color="auto"/>
        <w:left w:val="none" w:sz="0" w:space="0" w:color="auto"/>
        <w:bottom w:val="none" w:sz="0" w:space="0" w:color="auto"/>
        <w:right w:val="none" w:sz="0" w:space="0" w:color="auto"/>
      </w:divBdr>
    </w:div>
    <w:div w:id="1195537399">
      <w:marLeft w:val="0"/>
      <w:marRight w:val="0"/>
      <w:marTop w:val="0"/>
      <w:marBottom w:val="0"/>
      <w:divBdr>
        <w:top w:val="none" w:sz="0" w:space="0" w:color="auto"/>
        <w:left w:val="none" w:sz="0" w:space="0" w:color="auto"/>
        <w:bottom w:val="none" w:sz="0" w:space="0" w:color="auto"/>
        <w:right w:val="none" w:sz="0" w:space="0" w:color="auto"/>
      </w:divBdr>
    </w:div>
    <w:div w:id="1195537400">
      <w:marLeft w:val="0"/>
      <w:marRight w:val="0"/>
      <w:marTop w:val="0"/>
      <w:marBottom w:val="0"/>
      <w:divBdr>
        <w:top w:val="none" w:sz="0" w:space="0" w:color="auto"/>
        <w:left w:val="none" w:sz="0" w:space="0" w:color="auto"/>
        <w:bottom w:val="none" w:sz="0" w:space="0" w:color="auto"/>
        <w:right w:val="none" w:sz="0" w:space="0" w:color="auto"/>
      </w:divBdr>
    </w:div>
    <w:div w:id="1195537401">
      <w:marLeft w:val="0"/>
      <w:marRight w:val="0"/>
      <w:marTop w:val="0"/>
      <w:marBottom w:val="0"/>
      <w:divBdr>
        <w:top w:val="none" w:sz="0" w:space="0" w:color="auto"/>
        <w:left w:val="none" w:sz="0" w:space="0" w:color="auto"/>
        <w:bottom w:val="none" w:sz="0" w:space="0" w:color="auto"/>
        <w:right w:val="none" w:sz="0" w:space="0" w:color="auto"/>
      </w:divBdr>
    </w:div>
    <w:div w:id="1195537402">
      <w:marLeft w:val="0"/>
      <w:marRight w:val="0"/>
      <w:marTop w:val="0"/>
      <w:marBottom w:val="0"/>
      <w:divBdr>
        <w:top w:val="none" w:sz="0" w:space="0" w:color="auto"/>
        <w:left w:val="none" w:sz="0" w:space="0" w:color="auto"/>
        <w:bottom w:val="none" w:sz="0" w:space="0" w:color="auto"/>
        <w:right w:val="none" w:sz="0" w:space="0" w:color="auto"/>
      </w:divBdr>
    </w:div>
    <w:div w:id="1195537403">
      <w:marLeft w:val="0"/>
      <w:marRight w:val="0"/>
      <w:marTop w:val="0"/>
      <w:marBottom w:val="0"/>
      <w:divBdr>
        <w:top w:val="none" w:sz="0" w:space="0" w:color="auto"/>
        <w:left w:val="none" w:sz="0" w:space="0" w:color="auto"/>
        <w:bottom w:val="none" w:sz="0" w:space="0" w:color="auto"/>
        <w:right w:val="none" w:sz="0" w:space="0" w:color="auto"/>
      </w:divBdr>
    </w:div>
    <w:div w:id="1195537404">
      <w:marLeft w:val="0"/>
      <w:marRight w:val="0"/>
      <w:marTop w:val="0"/>
      <w:marBottom w:val="0"/>
      <w:divBdr>
        <w:top w:val="none" w:sz="0" w:space="0" w:color="auto"/>
        <w:left w:val="none" w:sz="0" w:space="0" w:color="auto"/>
        <w:bottom w:val="none" w:sz="0" w:space="0" w:color="auto"/>
        <w:right w:val="none" w:sz="0" w:space="0" w:color="auto"/>
      </w:divBdr>
    </w:div>
    <w:div w:id="1195537405">
      <w:marLeft w:val="0"/>
      <w:marRight w:val="0"/>
      <w:marTop w:val="0"/>
      <w:marBottom w:val="0"/>
      <w:divBdr>
        <w:top w:val="none" w:sz="0" w:space="0" w:color="auto"/>
        <w:left w:val="none" w:sz="0" w:space="0" w:color="auto"/>
        <w:bottom w:val="none" w:sz="0" w:space="0" w:color="auto"/>
        <w:right w:val="none" w:sz="0" w:space="0" w:color="auto"/>
      </w:divBdr>
    </w:div>
    <w:div w:id="1195537406">
      <w:marLeft w:val="0"/>
      <w:marRight w:val="0"/>
      <w:marTop w:val="0"/>
      <w:marBottom w:val="0"/>
      <w:divBdr>
        <w:top w:val="none" w:sz="0" w:space="0" w:color="auto"/>
        <w:left w:val="none" w:sz="0" w:space="0" w:color="auto"/>
        <w:bottom w:val="none" w:sz="0" w:space="0" w:color="auto"/>
        <w:right w:val="none" w:sz="0" w:space="0" w:color="auto"/>
      </w:divBdr>
    </w:div>
    <w:div w:id="1195537407">
      <w:marLeft w:val="0"/>
      <w:marRight w:val="0"/>
      <w:marTop w:val="0"/>
      <w:marBottom w:val="0"/>
      <w:divBdr>
        <w:top w:val="none" w:sz="0" w:space="0" w:color="auto"/>
        <w:left w:val="none" w:sz="0" w:space="0" w:color="auto"/>
        <w:bottom w:val="none" w:sz="0" w:space="0" w:color="auto"/>
        <w:right w:val="none" w:sz="0" w:space="0" w:color="auto"/>
      </w:divBdr>
    </w:div>
    <w:div w:id="1195537408">
      <w:marLeft w:val="0"/>
      <w:marRight w:val="0"/>
      <w:marTop w:val="0"/>
      <w:marBottom w:val="0"/>
      <w:divBdr>
        <w:top w:val="none" w:sz="0" w:space="0" w:color="auto"/>
        <w:left w:val="none" w:sz="0" w:space="0" w:color="auto"/>
        <w:bottom w:val="none" w:sz="0" w:space="0" w:color="auto"/>
        <w:right w:val="none" w:sz="0" w:space="0" w:color="auto"/>
      </w:divBdr>
    </w:div>
    <w:div w:id="1195537409">
      <w:marLeft w:val="0"/>
      <w:marRight w:val="0"/>
      <w:marTop w:val="0"/>
      <w:marBottom w:val="0"/>
      <w:divBdr>
        <w:top w:val="none" w:sz="0" w:space="0" w:color="auto"/>
        <w:left w:val="none" w:sz="0" w:space="0" w:color="auto"/>
        <w:bottom w:val="none" w:sz="0" w:space="0" w:color="auto"/>
        <w:right w:val="none" w:sz="0" w:space="0" w:color="auto"/>
      </w:divBdr>
    </w:div>
    <w:div w:id="1195537410">
      <w:marLeft w:val="0"/>
      <w:marRight w:val="0"/>
      <w:marTop w:val="0"/>
      <w:marBottom w:val="0"/>
      <w:divBdr>
        <w:top w:val="none" w:sz="0" w:space="0" w:color="auto"/>
        <w:left w:val="none" w:sz="0" w:space="0" w:color="auto"/>
        <w:bottom w:val="none" w:sz="0" w:space="0" w:color="auto"/>
        <w:right w:val="none" w:sz="0" w:space="0" w:color="auto"/>
      </w:divBdr>
    </w:div>
    <w:div w:id="1195537411">
      <w:marLeft w:val="0"/>
      <w:marRight w:val="0"/>
      <w:marTop w:val="0"/>
      <w:marBottom w:val="0"/>
      <w:divBdr>
        <w:top w:val="none" w:sz="0" w:space="0" w:color="auto"/>
        <w:left w:val="none" w:sz="0" w:space="0" w:color="auto"/>
        <w:bottom w:val="none" w:sz="0" w:space="0" w:color="auto"/>
        <w:right w:val="none" w:sz="0" w:space="0" w:color="auto"/>
      </w:divBdr>
    </w:div>
    <w:div w:id="1195537412">
      <w:marLeft w:val="0"/>
      <w:marRight w:val="0"/>
      <w:marTop w:val="0"/>
      <w:marBottom w:val="0"/>
      <w:divBdr>
        <w:top w:val="none" w:sz="0" w:space="0" w:color="auto"/>
        <w:left w:val="none" w:sz="0" w:space="0" w:color="auto"/>
        <w:bottom w:val="none" w:sz="0" w:space="0" w:color="auto"/>
        <w:right w:val="none" w:sz="0" w:space="0" w:color="auto"/>
      </w:divBdr>
    </w:div>
    <w:div w:id="1195537413">
      <w:marLeft w:val="0"/>
      <w:marRight w:val="0"/>
      <w:marTop w:val="0"/>
      <w:marBottom w:val="0"/>
      <w:divBdr>
        <w:top w:val="none" w:sz="0" w:space="0" w:color="auto"/>
        <w:left w:val="none" w:sz="0" w:space="0" w:color="auto"/>
        <w:bottom w:val="none" w:sz="0" w:space="0" w:color="auto"/>
        <w:right w:val="none" w:sz="0" w:space="0" w:color="auto"/>
      </w:divBdr>
    </w:div>
    <w:div w:id="1195537414">
      <w:marLeft w:val="0"/>
      <w:marRight w:val="0"/>
      <w:marTop w:val="0"/>
      <w:marBottom w:val="0"/>
      <w:divBdr>
        <w:top w:val="none" w:sz="0" w:space="0" w:color="auto"/>
        <w:left w:val="none" w:sz="0" w:space="0" w:color="auto"/>
        <w:bottom w:val="none" w:sz="0" w:space="0" w:color="auto"/>
        <w:right w:val="none" w:sz="0" w:space="0" w:color="auto"/>
      </w:divBdr>
    </w:div>
    <w:div w:id="1195537415">
      <w:marLeft w:val="0"/>
      <w:marRight w:val="0"/>
      <w:marTop w:val="0"/>
      <w:marBottom w:val="0"/>
      <w:divBdr>
        <w:top w:val="none" w:sz="0" w:space="0" w:color="auto"/>
        <w:left w:val="none" w:sz="0" w:space="0" w:color="auto"/>
        <w:bottom w:val="none" w:sz="0" w:space="0" w:color="auto"/>
        <w:right w:val="none" w:sz="0" w:space="0" w:color="auto"/>
      </w:divBdr>
    </w:div>
    <w:div w:id="1195537416">
      <w:marLeft w:val="0"/>
      <w:marRight w:val="0"/>
      <w:marTop w:val="0"/>
      <w:marBottom w:val="0"/>
      <w:divBdr>
        <w:top w:val="none" w:sz="0" w:space="0" w:color="auto"/>
        <w:left w:val="none" w:sz="0" w:space="0" w:color="auto"/>
        <w:bottom w:val="none" w:sz="0" w:space="0" w:color="auto"/>
        <w:right w:val="none" w:sz="0" w:space="0" w:color="auto"/>
      </w:divBdr>
    </w:div>
    <w:div w:id="1195537417">
      <w:marLeft w:val="0"/>
      <w:marRight w:val="0"/>
      <w:marTop w:val="0"/>
      <w:marBottom w:val="0"/>
      <w:divBdr>
        <w:top w:val="none" w:sz="0" w:space="0" w:color="auto"/>
        <w:left w:val="none" w:sz="0" w:space="0" w:color="auto"/>
        <w:bottom w:val="none" w:sz="0" w:space="0" w:color="auto"/>
        <w:right w:val="none" w:sz="0" w:space="0" w:color="auto"/>
      </w:divBdr>
    </w:div>
    <w:div w:id="1195537418">
      <w:marLeft w:val="0"/>
      <w:marRight w:val="0"/>
      <w:marTop w:val="0"/>
      <w:marBottom w:val="0"/>
      <w:divBdr>
        <w:top w:val="none" w:sz="0" w:space="0" w:color="auto"/>
        <w:left w:val="none" w:sz="0" w:space="0" w:color="auto"/>
        <w:bottom w:val="none" w:sz="0" w:space="0" w:color="auto"/>
        <w:right w:val="none" w:sz="0" w:space="0" w:color="auto"/>
      </w:divBdr>
    </w:div>
    <w:div w:id="1195537419">
      <w:marLeft w:val="0"/>
      <w:marRight w:val="0"/>
      <w:marTop w:val="0"/>
      <w:marBottom w:val="0"/>
      <w:divBdr>
        <w:top w:val="none" w:sz="0" w:space="0" w:color="auto"/>
        <w:left w:val="none" w:sz="0" w:space="0" w:color="auto"/>
        <w:bottom w:val="none" w:sz="0" w:space="0" w:color="auto"/>
        <w:right w:val="none" w:sz="0" w:space="0" w:color="auto"/>
      </w:divBdr>
    </w:div>
    <w:div w:id="1195537420">
      <w:marLeft w:val="0"/>
      <w:marRight w:val="0"/>
      <w:marTop w:val="0"/>
      <w:marBottom w:val="0"/>
      <w:divBdr>
        <w:top w:val="none" w:sz="0" w:space="0" w:color="auto"/>
        <w:left w:val="none" w:sz="0" w:space="0" w:color="auto"/>
        <w:bottom w:val="none" w:sz="0" w:space="0" w:color="auto"/>
        <w:right w:val="none" w:sz="0" w:space="0" w:color="auto"/>
      </w:divBdr>
    </w:div>
    <w:div w:id="1195537421">
      <w:marLeft w:val="0"/>
      <w:marRight w:val="0"/>
      <w:marTop w:val="0"/>
      <w:marBottom w:val="0"/>
      <w:divBdr>
        <w:top w:val="none" w:sz="0" w:space="0" w:color="auto"/>
        <w:left w:val="none" w:sz="0" w:space="0" w:color="auto"/>
        <w:bottom w:val="none" w:sz="0" w:space="0" w:color="auto"/>
        <w:right w:val="none" w:sz="0" w:space="0" w:color="auto"/>
      </w:divBdr>
    </w:div>
    <w:div w:id="1195537422">
      <w:marLeft w:val="0"/>
      <w:marRight w:val="0"/>
      <w:marTop w:val="0"/>
      <w:marBottom w:val="0"/>
      <w:divBdr>
        <w:top w:val="none" w:sz="0" w:space="0" w:color="auto"/>
        <w:left w:val="none" w:sz="0" w:space="0" w:color="auto"/>
        <w:bottom w:val="none" w:sz="0" w:space="0" w:color="auto"/>
        <w:right w:val="none" w:sz="0" w:space="0" w:color="auto"/>
      </w:divBdr>
    </w:div>
    <w:div w:id="1195537423">
      <w:marLeft w:val="0"/>
      <w:marRight w:val="0"/>
      <w:marTop w:val="0"/>
      <w:marBottom w:val="0"/>
      <w:divBdr>
        <w:top w:val="none" w:sz="0" w:space="0" w:color="auto"/>
        <w:left w:val="none" w:sz="0" w:space="0" w:color="auto"/>
        <w:bottom w:val="none" w:sz="0" w:space="0" w:color="auto"/>
        <w:right w:val="none" w:sz="0" w:space="0" w:color="auto"/>
      </w:divBdr>
    </w:div>
    <w:div w:id="1195537424">
      <w:marLeft w:val="0"/>
      <w:marRight w:val="0"/>
      <w:marTop w:val="0"/>
      <w:marBottom w:val="0"/>
      <w:divBdr>
        <w:top w:val="none" w:sz="0" w:space="0" w:color="auto"/>
        <w:left w:val="none" w:sz="0" w:space="0" w:color="auto"/>
        <w:bottom w:val="none" w:sz="0" w:space="0" w:color="auto"/>
        <w:right w:val="none" w:sz="0" w:space="0" w:color="auto"/>
      </w:divBdr>
    </w:div>
    <w:div w:id="1195537425">
      <w:marLeft w:val="0"/>
      <w:marRight w:val="0"/>
      <w:marTop w:val="0"/>
      <w:marBottom w:val="0"/>
      <w:divBdr>
        <w:top w:val="none" w:sz="0" w:space="0" w:color="auto"/>
        <w:left w:val="none" w:sz="0" w:space="0" w:color="auto"/>
        <w:bottom w:val="none" w:sz="0" w:space="0" w:color="auto"/>
        <w:right w:val="none" w:sz="0" w:space="0" w:color="auto"/>
      </w:divBdr>
    </w:div>
    <w:div w:id="1195537426">
      <w:marLeft w:val="0"/>
      <w:marRight w:val="0"/>
      <w:marTop w:val="0"/>
      <w:marBottom w:val="0"/>
      <w:divBdr>
        <w:top w:val="none" w:sz="0" w:space="0" w:color="auto"/>
        <w:left w:val="none" w:sz="0" w:space="0" w:color="auto"/>
        <w:bottom w:val="none" w:sz="0" w:space="0" w:color="auto"/>
        <w:right w:val="none" w:sz="0" w:space="0" w:color="auto"/>
      </w:divBdr>
    </w:div>
    <w:div w:id="1195537427">
      <w:marLeft w:val="0"/>
      <w:marRight w:val="0"/>
      <w:marTop w:val="0"/>
      <w:marBottom w:val="0"/>
      <w:divBdr>
        <w:top w:val="none" w:sz="0" w:space="0" w:color="auto"/>
        <w:left w:val="none" w:sz="0" w:space="0" w:color="auto"/>
        <w:bottom w:val="none" w:sz="0" w:space="0" w:color="auto"/>
        <w:right w:val="none" w:sz="0" w:space="0" w:color="auto"/>
      </w:divBdr>
    </w:div>
    <w:div w:id="1195537428">
      <w:marLeft w:val="0"/>
      <w:marRight w:val="0"/>
      <w:marTop w:val="0"/>
      <w:marBottom w:val="0"/>
      <w:divBdr>
        <w:top w:val="none" w:sz="0" w:space="0" w:color="auto"/>
        <w:left w:val="none" w:sz="0" w:space="0" w:color="auto"/>
        <w:bottom w:val="none" w:sz="0" w:space="0" w:color="auto"/>
        <w:right w:val="none" w:sz="0" w:space="0" w:color="auto"/>
      </w:divBdr>
    </w:div>
    <w:div w:id="1195537429">
      <w:marLeft w:val="0"/>
      <w:marRight w:val="0"/>
      <w:marTop w:val="0"/>
      <w:marBottom w:val="0"/>
      <w:divBdr>
        <w:top w:val="none" w:sz="0" w:space="0" w:color="auto"/>
        <w:left w:val="none" w:sz="0" w:space="0" w:color="auto"/>
        <w:bottom w:val="none" w:sz="0" w:space="0" w:color="auto"/>
        <w:right w:val="none" w:sz="0" w:space="0" w:color="auto"/>
      </w:divBdr>
    </w:div>
    <w:div w:id="1195537430">
      <w:marLeft w:val="0"/>
      <w:marRight w:val="0"/>
      <w:marTop w:val="0"/>
      <w:marBottom w:val="0"/>
      <w:divBdr>
        <w:top w:val="none" w:sz="0" w:space="0" w:color="auto"/>
        <w:left w:val="none" w:sz="0" w:space="0" w:color="auto"/>
        <w:bottom w:val="none" w:sz="0" w:space="0" w:color="auto"/>
        <w:right w:val="none" w:sz="0" w:space="0" w:color="auto"/>
      </w:divBdr>
    </w:div>
    <w:div w:id="1195537431">
      <w:marLeft w:val="0"/>
      <w:marRight w:val="0"/>
      <w:marTop w:val="0"/>
      <w:marBottom w:val="0"/>
      <w:divBdr>
        <w:top w:val="none" w:sz="0" w:space="0" w:color="auto"/>
        <w:left w:val="none" w:sz="0" w:space="0" w:color="auto"/>
        <w:bottom w:val="none" w:sz="0" w:space="0" w:color="auto"/>
        <w:right w:val="none" w:sz="0" w:space="0" w:color="auto"/>
      </w:divBdr>
    </w:div>
    <w:div w:id="1195537432">
      <w:marLeft w:val="0"/>
      <w:marRight w:val="0"/>
      <w:marTop w:val="0"/>
      <w:marBottom w:val="0"/>
      <w:divBdr>
        <w:top w:val="none" w:sz="0" w:space="0" w:color="auto"/>
        <w:left w:val="none" w:sz="0" w:space="0" w:color="auto"/>
        <w:bottom w:val="none" w:sz="0" w:space="0" w:color="auto"/>
        <w:right w:val="none" w:sz="0" w:space="0" w:color="auto"/>
      </w:divBdr>
    </w:div>
    <w:div w:id="1195537433">
      <w:marLeft w:val="0"/>
      <w:marRight w:val="0"/>
      <w:marTop w:val="0"/>
      <w:marBottom w:val="0"/>
      <w:divBdr>
        <w:top w:val="none" w:sz="0" w:space="0" w:color="auto"/>
        <w:left w:val="none" w:sz="0" w:space="0" w:color="auto"/>
        <w:bottom w:val="none" w:sz="0" w:space="0" w:color="auto"/>
        <w:right w:val="none" w:sz="0" w:space="0" w:color="auto"/>
      </w:divBdr>
    </w:div>
    <w:div w:id="1195537434">
      <w:marLeft w:val="0"/>
      <w:marRight w:val="0"/>
      <w:marTop w:val="0"/>
      <w:marBottom w:val="0"/>
      <w:divBdr>
        <w:top w:val="none" w:sz="0" w:space="0" w:color="auto"/>
        <w:left w:val="none" w:sz="0" w:space="0" w:color="auto"/>
        <w:bottom w:val="none" w:sz="0" w:space="0" w:color="auto"/>
        <w:right w:val="none" w:sz="0" w:space="0" w:color="auto"/>
      </w:divBdr>
    </w:div>
    <w:div w:id="1195537435">
      <w:marLeft w:val="0"/>
      <w:marRight w:val="0"/>
      <w:marTop w:val="0"/>
      <w:marBottom w:val="0"/>
      <w:divBdr>
        <w:top w:val="none" w:sz="0" w:space="0" w:color="auto"/>
        <w:left w:val="none" w:sz="0" w:space="0" w:color="auto"/>
        <w:bottom w:val="none" w:sz="0" w:space="0" w:color="auto"/>
        <w:right w:val="none" w:sz="0" w:space="0" w:color="auto"/>
      </w:divBdr>
    </w:div>
    <w:div w:id="1195537436">
      <w:marLeft w:val="0"/>
      <w:marRight w:val="0"/>
      <w:marTop w:val="0"/>
      <w:marBottom w:val="0"/>
      <w:divBdr>
        <w:top w:val="none" w:sz="0" w:space="0" w:color="auto"/>
        <w:left w:val="none" w:sz="0" w:space="0" w:color="auto"/>
        <w:bottom w:val="none" w:sz="0" w:space="0" w:color="auto"/>
        <w:right w:val="none" w:sz="0" w:space="0" w:color="auto"/>
      </w:divBdr>
    </w:div>
    <w:div w:id="1195537437">
      <w:marLeft w:val="0"/>
      <w:marRight w:val="0"/>
      <w:marTop w:val="0"/>
      <w:marBottom w:val="0"/>
      <w:divBdr>
        <w:top w:val="none" w:sz="0" w:space="0" w:color="auto"/>
        <w:left w:val="none" w:sz="0" w:space="0" w:color="auto"/>
        <w:bottom w:val="none" w:sz="0" w:space="0" w:color="auto"/>
        <w:right w:val="none" w:sz="0" w:space="0" w:color="auto"/>
      </w:divBdr>
    </w:div>
    <w:div w:id="1195537438">
      <w:marLeft w:val="0"/>
      <w:marRight w:val="0"/>
      <w:marTop w:val="0"/>
      <w:marBottom w:val="0"/>
      <w:divBdr>
        <w:top w:val="none" w:sz="0" w:space="0" w:color="auto"/>
        <w:left w:val="none" w:sz="0" w:space="0" w:color="auto"/>
        <w:bottom w:val="none" w:sz="0" w:space="0" w:color="auto"/>
        <w:right w:val="none" w:sz="0" w:space="0" w:color="auto"/>
      </w:divBdr>
    </w:div>
    <w:div w:id="1195537439">
      <w:marLeft w:val="0"/>
      <w:marRight w:val="0"/>
      <w:marTop w:val="0"/>
      <w:marBottom w:val="0"/>
      <w:divBdr>
        <w:top w:val="none" w:sz="0" w:space="0" w:color="auto"/>
        <w:left w:val="none" w:sz="0" w:space="0" w:color="auto"/>
        <w:bottom w:val="none" w:sz="0" w:space="0" w:color="auto"/>
        <w:right w:val="none" w:sz="0" w:space="0" w:color="auto"/>
      </w:divBdr>
    </w:div>
    <w:div w:id="1195537440">
      <w:marLeft w:val="0"/>
      <w:marRight w:val="0"/>
      <w:marTop w:val="0"/>
      <w:marBottom w:val="0"/>
      <w:divBdr>
        <w:top w:val="none" w:sz="0" w:space="0" w:color="auto"/>
        <w:left w:val="none" w:sz="0" w:space="0" w:color="auto"/>
        <w:bottom w:val="none" w:sz="0" w:space="0" w:color="auto"/>
        <w:right w:val="none" w:sz="0" w:space="0" w:color="auto"/>
      </w:divBdr>
    </w:div>
    <w:div w:id="1195537441">
      <w:marLeft w:val="0"/>
      <w:marRight w:val="0"/>
      <w:marTop w:val="0"/>
      <w:marBottom w:val="0"/>
      <w:divBdr>
        <w:top w:val="none" w:sz="0" w:space="0" w:color="auto"/>
        <w:left w:val="none" w:sz="0" w:space="0" w:color="auto"/>
        <w:bottom w:val="none" w:sz="0" w:space="0" w:color="auto"/>
        <w:right w:val="none" w:sz="0" w:space="0" w:color="auto"/>
      </w:divBdr>
    </w:div>
    <w:div w:id="1195537442">
      <w:marLeft w:val="0"/>
      <w:marRight w:val="0"/>
      <w:marTop w:val="0"/>
      <w:marBottom w:val="0"/>
      <w:divBdr>
        <w:top w:val="none" w:sz="0" w:space="0" w:color="auto"/>
        <w:left w:val="none" w:sz="0" w:space="0" w:color="auto"/>
        <w:bottom w:val="none" w:sz="0" w:space="0" w:color="auto"/>
        <w:right w:val="none" w:sz="0" w:space="0" w:color="auto"/>
      </w:divBdr>
    </w:div>
    <w:div w:id="1195537443">
      <w:marLeft w:val="0"/>
      <w:marRight w:val="0"/>
      <w:marTop w:val="0"/>
      <w:marBottom w:val="0"/>
      <w:divBdr>
        <w:top w:val="none" w:sz="0" w:space="0" w:color="auto"/>
        <w:left w:val="none" w:sz="0" w:space="0" w:color="auto"/>
        <w:bottom w:val="none" w:sz="0" w:space="0" w:color="auto"/>
        <w:right w:val="none" w:sz="0" w:space="0" w:color="auto"/>
      </w:divBdr>
    </w:div>
    <w:div w:id="1195537444">
      <w:marLeft w:val="0"/>
      <w:marRight w:val="0"/>
      <w:marTop w:val="0"/>
      <w:marBottom w:val="0"/>
      <w:divBdr>
        <w:top w:val="none" w:sz="0" w:space="0" w:color="auto"/>
        <w:left w:val="none" w:sz="0" w:space="0" w:color="auto"/>
        <w:bottom w:val="none" w:sz="0" w:space="0" w:color="auto"/>
        <w:right w:val="none" w:sz="0" w:space="0" w:color="auto"/>
      </w:divBdr>
    </w:div>
    <w:div w:id="1195537445">
      <w:marLeft w:val="0"/>
      <w:marRight w:val="0"/>
      <w:marTop w:val="0"/>
      <w:marBottom w:val="0"/>
      <w:divBdr>
        <w:top w:val="none" w:sz="0" w:space="0" w:color="auto"/>
        <w:left w:val="none" w:sz="0" w:space="0" w:color="auto"/>
        <w:bottom w:val="none" w:sz="0" w:space="0" w:color="auto"/>
        <w:right w:val="none" w:sz="0" w:space="0" w:color="auto"/>
      </w:divBdr>
    </w:div>
    <w:div w:id="1195537446">
      <w:marLeft w:val="0"/>
      <w:marRight w:val="0"/>
      <w:marTop w:val="0"/>
      <w:marBottom w:val="0"/>
      <w:divBdr>
        <w:top w:val="none" w:sz="0" w:space="0" w:color="auto"/>
        <w:left w:val="none" w:sz="0" w:space="0" w:color="auto"/>
        <w:bottom w:val="none" w:sz="0" w:space="0" w:color="auto"/>
        <w:right w:val="none" w:sz="0" w:space="0" w:color="auto"/>
      </w:divBdr>
    </w:div>
    <w:div w:id="1195537447">
      <w:marLeft w:val="0"/>
      <w:marRight w:val="0"/>
      <w:marTop w:val="0"/>
      <w:marBottom w:val="0"/>
      <w:divBdr>
        <w:top w:val="none" w:sz="0" w:space="0" w:color="auto"/>
        <w:left w:val="none" w:sz="0" w:space="0" w:color="auto"/>
        <w:bottom w:val="none" w:sz="0" w:space="0" w:color="auto"/>
        <w:right w:val="none" w:sz="0" w:space="0" w:color="auto"/>
      </w:divBdr>
    </w:div>
    <w:div w:id="1195537448">
      <w:marLeft w:val="0"/>
      <w:marRight w:val="0"/>
      <w:marTop w:val="0"/>
      <w:marBottom w:val="0"/>
      <w:divBdr>
        <w:top w:val="none" w:sz="0" w:space="0" w:color="auto"/>
        <w:left w:val="none" w:sz="0" w:space="0" w:color="auto"/>
        <w:bottom w:val="none" w:sz="0" w:space="0" w:color="auto"/>
        <w:right w:val="none" w:sz="0" w:space="0" w:color="auto"/>
      </w:divBdr>
    </w:div>
    <w:div w:id="1195537449">
      <w:marLeft w:val="0"/>
      <w:marRight w:val="0"/>
      <w:marTop w:val="0"/>
      <w:marBottom w:val="0"/>
      <w:divBdr>
        <w:top w:val="none" w:sz="0" w:space="0" w:color="auto"/>
        <w:left w:val="none" w:sz="0" w:space="0" w:color="auto"/>
        <w:bottom w:val="none" w:sz="0" w:space="0" w:color="auto"/>
        <w:right w:val="none" w:sz="0" w:space="0" w:color="auto"/>
      </w:divBdr>
    </w:div>
    <w:div w:id="1195537450">
      <w:marLeft w:val="0"/>
      <w:marRight w:val="0"/>
      <w:marTop w:val="0"/>
      <w:marBottom w:val="0"/>
      <w:divBdr>
        <w:top w:val="none" w:sz="0" w:space="0" w:color="auto"/>
        <w:left w:val="none" w:sz="0" w:space="0" w:color="auto"/>
        <w:bottom w:val="none" w:sz="0" w:space="0" w:color="auto"/>
        <w:right w:val="none" w:sz="0" w:space="0" w:color="auto"/>
      </w:divBdr>
    </w:div>
    <w:div w:id="1195537451">
      <w:marLeft w:val="0"/>
      <w:marRight w:val="0"/>
      <w:marTop w:val="0"/>
      <w:marBottom w:val="0"/>
      <w:divBdr>
        <w:top w:val="none" w:sz="0" w:space="0" w:color="auto"/>
        <w:left w:val="none" w:sz="0" w:space="0" w:color="auto"/>
        <w:bottom w:val="none" w:sz="0" w:space="0" w:color="auto"/>
        <w:right w:val="none" w:sz="0" w:space="0" w:color="auto"/>
      </w:divBdr>
    </w:div>
    <w:div w:id="1195537452">
      <w:marLeft w:val="0"/>
      <w:marRight w:val="0"/>
      <w:marTop w:val="0"/>
      <w:marBottom w:val="0"/>
      <w:divBdr>
        <w:top w:val="none" w:sz="0" w:space="0" w:color="auto"/>
        <w:left w:val="none" w:sz="0" w:space="0" w:color="auto"/>
        <w:bottom w:val="none" w:sz="0" w:space="0" w:color="auto"/>
        <w:right w:val="none" w:sz="0" w:space="0" w:color="auto"/>
      </w:divBdr>
    </w:div>
    <w:div w:id="1195537453">
      <w:marLeft w:val="0"/>
      <w:marRight w:val="0"/>
      <w:marTop w:val="0"/>
      <w:marBottom w:val="0"/>
      <w:divBdr>
        <w:top w:val="none" w:sz="0" w:space="0" w:color="auto"/>
        <w:left w:val="none" w:sz="0" w:space="0" w:color="auto"/>
        <w:bottom w:val="none" w:sz="0" w:space="0" w:color="auto"/>
        <w:right w:val="none" w:sz="0" w:space="0" w:color="auto"/>
      </w:divBdr>
    </w:div>
    <w:div w:id="1195537454">
      <w:marLeft w:val="0"/>
      <w:marRight w:val="0"/>
      <w:marTop w:val="0"/>
      <w:marBottom w:val="0"/>
      <w:divBdr>
        <w:top w:val="none" w:sz="0" w:space="0" w:color="auto"/>
        <w:left w:val="none" w:sz="0" w:space="0" w:color="auto"/>
        <w:bottom w:val="none" w:sz="0" w:space="0" w:color="auto"/>
        <w:right w:val="none" w:sz="0" w:space="0" w:color="auto"/>
      </w:divBdr>
    </w:div>
    <w:div w:id="1195537455">
      <w:marLeft w:val="0"/>
      <w:marRight w:val="0"/>
      <w:marTop w:val="0"/>
      <w:marBottom w:val="0"/>
      <w:divBdr>
        <w:top w:val="none" w:sz="0" w:space="0" w:color="auto"/>
        <w:left w:val="none" w:sz="0" w:space="0" w:color="auto"/>
        <w:bottom w:val="none" w:sz="0" w:space="0" w:color="auto"/>
        <w:right w:val="none" w:sz="0" w:space="0" w:color="auto"/>
      </w:divBdr>
    </w:div>
    <w:div w:id="1195537456">
      <w:marLeft w:val="0"/>
      <w:marRight w:val="0"/>
      <w:marTop w:val="0"/>
      <w:marBottom w:val="0"/>
      <w:divBdr>
        <w:top w:val="none" w:sz="0" w:space="0" w:color="auto"/>
        <w:left w:val="none" w:sz="0" w:space="0" w:color="auto"/>
        <w:bottom w:val="none" w:sz="0" w:space="0" w:color="auto"/>
        <w:right w:val="none" w:sz="0" w:space="0" w:color="auto"/>
      </w:divBdr>
    </w:div>
    <w:div w:id="1195537457">
      <w:marLeft w:val="0"/>
      <w:marRight w:val="0"/>
      <w:marTop w:val="0"/>
      <w:marBottom w:val="0"/>
      <w:divBdr>
        <w:top w:val="none" w:sz="0" w:space="0" w:color="auto"/>
        <w:left w:val="none" w:sz="0" w:space="0" w:color="auto"/>
        <w:bottom w:val="none" w:sz="0" w:space="0" w:color="auto"/>
        <w:right w:val="none" w:sz="0" w:space="0" w:color="auto"/>
      </w:divBdr>
    </w:div>
    <w:div w:id="1195537458">
      <w:marLeft w:val="0"/>
      <w:marRight w:val="0"/>
      <w:marTop w:val="0"/>
      <w:marBottom w:val="0"/>
      <w:divBdr>
        <w:top w:val="none" w:sz="0" w:space="0" w:color="auto"/>
        <w:left w:val="none" w:sz="0" w:space="0" w:color="auto"/>
        <w:bottom w:val="none" w:sz="0" w:space="0" w:color="auto"/>
        <w:right w:val="none" w:sz="0" w:space="0" w:color="auto"/>
      </w:divBdr>
    </w:div>
    <w:div w:id="1195537459">
      <w:marLeft w:val="0"/>
      <w:marRight w:val="0"/>
      <w:marTop w:val="0"/>
      <w:marBottom w:val="0"/>
      <w:divBdr>
        <w:top w:val="none" w:sz="0" w:space="0" w:color="auto"/>
        <w:left w:val="none" w:sz="0" w:space="0" w:color="auto"/>
        <w:bottom w:val="none" w:sz="0" w:space="0" w:color="auto"/>
        <w:right w:val="none" w:sz="0" w:space="0" w:color="auto"/>
      </w:divBdr>
    </w:div>
    <w:div w:id="1195537460">
      <w:marLeft w:val="0"/>
      <w:marRight w:val="0"/>
      <w:marTop w:val="0"/>
      <w:marBottom w:val="0"/>
      <w:divBdr>
        <w:top w:val="none" w:sz="0" w:space="0" w:color="auto"/>
        <w:left w:val="none" w:sz="0" w:space="0" w:color="auto"/>
        <w:bottom w:val="none" w:sz="0" w:space="0" w:color="auto"/>
        <w:right w:val="none" w:sz="0" w:space="0" w:color="auto"/>
      </w:divBdr>
    </w:div>
    <w:div w:id="1195537461">
      <w:marLeft w:val="0"/>
      <w:marRight w:val="0"/>
      <w:marTop w:val="0"/>
      <w:marBottom w:val="0"/>
      <w:divBdr>
        <w:top w:val="none" w:sz="0" w:space="0" w:color="auto"/>
        <w:left w:val="none" w:sz="0" w:space="0" w:color="auto"/>
        <w:bottom w:val="none" w:sz="0" w:space="0" w:color="auto"/>
        <w:right w:val="none" w:sz="0" w:space="0" w:color="auto"/>
      </w:divBdr>
    </w:div>
    <w:div w:id="1195537462">
      <w:marLeft w:val="0"/>
      <w:marRight w:val="0"/>
      <w:marTop w:val="0"/>
      <w:marBottom w:val="0"/>
      <w:divBdr>
        <w:top w:val="none" w:sz="0" w:space="0" w:color="auto"/>
        <w:left w:val="none" w:sz="0" w:space="0" w:color="auto"/>
        <w:bottom w:val="none" w:sz="0" w:space="0" w:color="auto"/>
        <w:right w:val="none" w:sz="0" w:space="0" w:color="auto"/>
      </w:divBdr>
    </w:div>
    <w:div w:id="1195537463">
      <w:marLeft w:val="0"/>
      <w:marRight w:val="0"/>
      <w:marTop w:val="0"/>
      <w:marBottom w:val="0"/>
      <w:divBdr>
        <w:top w:val="none" w:sz="0" w:space="0" w:color="auto"/>
        <w:left w:val="none" w:sz="0" w:space="0" w:color="auto"/>
        <w:bottom w:val="none" w:sz="0" w:space="0" w:color="auto"/>
        <w:right w:val="none" w:sz="0" w:space="0" w:color="auto"/>
      </w:divBdr>
    </w:div>
    <w:div w:id="1195537464">
      <w:marLeft w:val="0"/>
      <w:marRight w:val="0"/>
      <w:marTop w:val="0"/>
      <w:marBottom w:val="0"/>
      <w:divBdr>
        <w:top w:val="none" w:sz="0" w:space="0" w:color="auto"/>
        <w:left w:val="none" w:sz="0" w:space="0" w:color="auto"/>
        <w:bottom w:val="none" w:sz="0" w:space="0" w:color="auto"/>
        <w:right w:val="none" w:sz="0" w:space="0" w:color="auto"/>
      </w:divBdr>
    </w:div>
    <w:div w:id="1195537465">
      <w:marLeft w:val="0"/>
      <w:marRight w:val="0"/>
      <w:marTop w:val="0"/>
      <w:marBottom w:val="0"/>
      <w:divBdr>
        <w:top w:val="none" w:sz="0" w:space="0" w:color="auto"/>
        <w:left w:val="none" w:sz="0" w:space="0" w:color="auto"/>
        <w:bottom w:val="none" w:sz="0" w:space="0" w:color="auto"/>
        <w:right w:val="none" w:sz="0" w:space="0" w:color="auto"/>
      </w:divBdr>
    </w:div>
    <w:div w:id="1195537466">
      <w:marLeft w:val="0"/>
      <w:marRight w:val="0"/>
      <w:marTop w:val="0"/>
      <w:marBottom w:val="0"/>
      <w:divBdr>
        <w:top w:val="none" w:sz="0" w:space="0" w:color="auto"/>
        <w:left w:val="none" w:sz="0" w:space="0" w:color="auto"/>
        <w:bottom w:val="none" w:sz="0" w:space="0" w:color="auto"/>
        <w:right w:val="none" w:sz="0" w:space="0" w:color="auto"/>
      </w:divBdr>
    </w:div>
    <w:div w:id="1195537467">
      <w:marLeft w:val="0"/>
      <w:marRight w:val="0"/>
      <w:marTop w:val="0"/>
      <w:marBottom w:val="0"/>
      <w:divBdr>
        <w:top w:val="none" w:sz="0" w:space="0" w:color="auto"/>
        <w:left w:val="none" w:sz="0" w:space="0" w:color="auto"/>
        <w:bottom w:val="none" w:sz="0" w:space="0" w:color="auto"/>
        <w:right w:val="none" w:sz="0" w:space="0" w:color="auto"/>
      </w:divBdr>
    </w:div>
    <w:div w:id="1195537468">
      <w:marLeft w:val="0"/>
      <w:marRight w:val="0"/>
      <w:marTop w:val="0"/>
      <w:marBottom w:val="0"/>
      <w:divBdr>
        <w:top w:val="none" w:sz="0" w:space="0" w:color="auto"/>
        <w:left w:val="none" w:sz="0" w:space="0" w:color="auto"/>
        <w:bottom w:val="none" w:sz="0" w:space="0" w:color="auto"/>
        <w:right w:val="none" w:sz="0" w:space="0" w:color="auto"/>
      </w:divBdr>
    </w:div>
    <w:div w:id="1195537469">
      <w:marLeft w:val="0"/>
      <w:marRight w:val="0"/>
      <w:marTop w:val="0"/>
      <w:marBottom w:val="0"/>
      <w:divBdr>
        <w:top w:val="none" w:sz="0" w:space="0" w:color="auto"/>
        <w:left w:val="none" w:sz="0" w:space="0" w:color="auto"/>
        <w:bottom w:val="none" w:sz="0" w:space="0" w:color="auto"/>
        <w:right w:val="none" w:sz="0" w:space="0" w:color="auto"/>
      </w:divBdr>
    </w:div>
    <w:div w:id="1195537470">
      <w:marLeft w:val="0"/>
      <w:marRight w:val="0"/>
      <w:marTop w:val="0"/>
      <w:marBottom w:val="0"/>
      <w:divBdr>
        <w:top w:val="none" w:sz="0" w:space="0" w:color="auto"/>
        <w:left w:val="none" w:sz="0" w:space="0" w:color="auto"/>
        <w:bottom w:val="none" w:sz="0" w:space="0" w:color="auto"/>
        <w:right w:val="none" w:sz="0" w:space="0" w:color="auto"/>
      </w:divBdr>
    </w:div>
    <w:div w:id="1195537471">
      <w:marLeft w:val="0"/>
      <w:marRight w:val="0"/>
      <w:marTop w:val="0"/>
      <w:marBottom w:val="0"/>
      <w:divBdr>
        <w:top w:val="none" w:sz="0" w:space="0" w:color="auto"/>
        <w:left w:val="none" w:sz="0" w:space="0" w:color="auto"/>
        <w:bottom w:val="none" w:sz="0" w:space="0" w:color="auto"/>
        <w:right w:val="none" w:sz="0" w:space="0" w:color="auto"/>
      </w:divBdr>
    </w:div>
    <w:div w:id="1195537472">
      <w:marLeft w:val="0"/>
      <w:marRight w:val="0"/>
      <w:marTop w:val="0"/>
      <w:marBottom w:val="0"/>
      <w:divBdr>
        <w:top w:val="none" w:sz="0" w:space="0" w:color="auto"/>
        <w:left w:val="none" w:sz="0" w:space="0" w:color="auto"/>
        <w:bottom w:val="none" w:sz="0" w:space="0" w:color="auto"/>
        <w:right w:val="none" w:sz="0" w:space="0" w:color="auto"/>
      </w:divBdr>
    </w:div>
    <w:div w:id="1195537473">
      <w:marLeft w:val="0"/>
      <w:marRight w:val="0"/>
      <w:marTop w:val="0"/>
      <w:marBottom w:val="0"/>
      <w:divBdr>
        <w:top w:val="none" w:sz="0" w:space="0" w:color="auto"/>
        <w:left w:val="none" w:sz="0" w:space="0" w:color="auto"/>
        <w:bottom w:val="none" w:sz="0" w:space="0" w:color="auto"/>
        <w:right w:val="none" w:sz="0" w:space="0" w:color="auto"/>
      </w:divBdr>
    </w:div>
    <w:div w:id="1195537474">
      <w:marLeft w:val="0"/>
      <w:marRight w:val="0"/>
      <w:marTop w:val="0"/>
      <w:marBottom w:val="0"/>
      <w:divBdr>
        <w:top w:val="none" w:sz="0" w:space="0" w:color="auto"/>
        <w:left w:val="none" w:sz="0" w:space="0" w:color="auto"/>
        <w:bottom w:val="none" w:sz="0" w:space="0" w:color="auto"/>
        <w:right w:val="none" w:sz="0" w:space="0" w:color="auto"/>
      </w:divBdr>
    </w:div>
    <w:div w:id="1195537475">
      <w:marLeft w:val="0"/>
      <w:marRight w:val="0"/>
      <w:marTop w:val="0"/>
      <w:marBottom w:val="0"/>
      <w:divBdr>
        <w:top w:val="none" w:sz="0" w:space="0" w:color="auto"/>
        <w:left w:val="none" w:sz="0" w:space="0" w:color="auto"/>
        <w:bottom w:val="none" w:sz="0" w:space="0" w:color="auto"/>
        <w:right w:val="none" w:sz="0" w:space="0" w:color="auto"/>
      </w:divBdr>
    </w:div>
    <w:div w:id="1195537476">
      <w:marLeft w:val="0"/>
      <w:marRight w:val="0"/>
      <w:marTop w:val="0"/>
      <w:marBottom w:val="0"/>
      <w:divBdr>
        <w:top w:val="none" w:sz="0" w:space="0" w:color="auto"/>
        <w:left w:val="none" w:sz="0" w:space="0" w:color="auto"/>
        <w:bottom w:val="none" w:sz="0" w:space="0" w:color="auto"/>
        <w:right w:val="none" w:sz="0" w:space="0" w:color="auto"/>
      </w:divBdr>
    </w:div>
    <w:div w:id="1195537477">
      <w:marLeft w:val="0"/>
      <w:marRight w:val="0"/>
      <w:marTop w:val="0"/>
      <w:marBottom w:val="0"/>
      <w:divBdr>
        <w:top w:val="none" w:sz="0" w:space="0" w:color="auto"/>
        <w:left w:val="none" w:sz="0" w:space="0" w:color="auto"/>
        <w:bottom w:val="none" w:sz="0" w:space="0" w:color="auto"/>
        <w:right w:val="none" w:sz="0" w:space="0" w:color="auto"/>
      </w:divBdr>
    </w:div>
    <w:div w:id="1195537478">
      <w:marLeft w:val="0"/>
      <w:marRight w:val="0"/>
      <w:marTop w:val="0"/>
      <w:marBottom w:val="0"/>
      <w:divBdr>
        <w:top w:val="none" w:sz="0" w:space="0" w:color="auto"/>
        <w:left w:val="none" w:sz="0" w:space="0" w:color="auto"/>
        <w:bottom w:val="none" w:sz="0" w:space="0" w:color="auto"/>
        <w:right w:val="none" w:sz="0" w:space="0" w:color="auto"/>
      </w:divBdr>
    </w:div>
    <w:div w:id="1195537479">
      <w:marLeft w:val="0"/>
      <w:marRight w:val="0"/>
      <w:marTop w:val="0"/>
      <w:marBottom w:val="0"/>
      <w:divBdr>
        <w:top w:val="none" w:sz="0" w:space="0" w:color="auto"/>
        <w:left w:val="none" w:sz="0" w:space="0" w:color="auto"/>
        <w:bottom w:val="none" w:sz="0" w:space="0" w:color="auto"/>
        <w:right w:val="none" w:sz="0" w:space="0" w:color="auto"/>
      </w:divBdr>
    </w:div>
    <w:div w:id="1195537480">
      <w:marLeft w:val="0"/>
      <w:marRight w:val="0"/>
      <w:marTop w:val="0"/>
      <w:marBottom w:val="0"/>
      <w:divBdr>
        <w:top w:val="none" w:sz="0" w:space="0" w:color="auto"/>
        <w:left w:val="none" w:sz="0" w:space="0" w:color="auto"/>
        <w:bottom w:val="none" w:sz="0" w:space="0" w:color="auto"/>
        <w:right w:val="none" w:sz="0" w:space="0" w:color="auto"/>
      </w:divBdr>
    </w:div>
    <w:div w:id="1195537481">
      <w:marLeft w:val="0"/>
      <w:marRight w:val="0"/>
      <w:marTop w:val="0"/>
      <w:marBottom w:val="0"/>
      <w:divBdr>
        <w:top w:val="none" w:sz="0" w:space="0" w:color="auto"/>
        <w:left w:val="none" w:sz="0" w:space="0" w:color="auto"/>
        <w:bottom w:val="none" w:sz="0" w:space="0" w:color="auto"/>
        <w:right w:val="none" w:sz="0" w:space="0" w:color="auto"/>
      </w:divBdr>
    </w:div>
    <w:div w:id="1195537482">
      <w:marLeft w:val="0"/>
      <w:marRight w:val="0"/>
      <w:marTop w:val="0"/>
      <w:marBottom w:val="0"/>
      <w:divBdr>
        <w:top w:val="none" w:sz="0" w:space="0" w:color="auto"/>
        <w:left w:val="none" w:sz="0" w:space="0" w:color="auto"/>
        <w:bottom w:val="none" w:sz="0" w:space="0" w:color="auto"/>
        <w:right w:val="none" w:sz="0" w:space="0" w:color="auto"/>
      </w:divBdr>
    </w:div>
    <w:div w:id="1195537483">
      <w:marLeft w:val="0"/>
      <w:marRight w:val="0"/>
      <w:marTop w:val="0"/>
      <w:marBottom w:val="0"/>
      <w:divBdr>
        <w:top w:val="none" w:sz="0" w:space="0" w:color="auto"/>
        <w:left w:val="none" w:sz="0" w:space="0" w:color="auto"/>
        <w:bottom w:val="none" w:sz="0" w:space="0" w:color="auto"/>
        <w:right w:val="none" w:sz="0" w:space="0" w:color="auto"/>
      </w:divBdr>
    </w:div>
    <w:div w:id="1195537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16</Pages>
  <Words>2393</Words>
  <Characters>13642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CEAUSU</dc:creator>
  <cp:keywords/>
  <dc:description/>
  <cp:lastModifiedBy>mariana.petre</cp:lastModifiedBy>
  <cp:revision>13</cp:revision>
  <cp:lastPrinted>2019-01-04T12:31:00Z</cp:lastPrinted>
  <dcterms:created xsi:type="dcterms:W3CDTF">2018-08-07T09:01:00Z</dcterms:created>
  <dcterms:modified xsi:type="dcterms:W3CDTF">2022-06-15T10:11:00Z</dcterms:modified>
</cp:coreProperties>
</file>